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91" w:rsidRPr="006853C6" w:rsidRDefault="00325796" w:rsidP="00821891">
      <w:pPr>
        <w:jc w:val="center"/>
        <w:rPr>
          <w:rFonts w:cs="Arial"/>
          <w:b/>
          <w:sz w:val="18"/>
          <w:szCs w:val="18"/>
          <w:lang w:val="es-BO"/>
        </w:rPr>
      </w:pPr>
      <w:r w:rsidRPr="006853C6">
        <w:rPr>
          <w:rFonts w:cs="Arial"/>
          <w:b/>
          <w:noProof/>
          <w:sz w:val="18"/>
          <w:szCs w:val="18"/>
          <w:lang w:val="es-BO" w:eastAsia="es-BO"/>
        </w:rPr>
        <w:drawing>
          <wp:anchor distT="0" distB="0" distL="114300" distR="114300" simplePos="0" relativeHeight="251658240" behindDoc="1" locked="0" layoutInCell="1" allowOverlap="1">
            <wp:simplePos x="0" y="0"/>
            <wp:positionH relativeFrom="column">
              <wp:posOffset>-1084580</wp:posOffset>
            </wp:positionH>
            <wp:positionV relativeFrom="paragraph">
              <wp:posOffset>-844550</wp:posOffset>
            </wp:positionV>
            <wp:extent cx="7879715" cy="10029825"/>
            <wp:effectExtent l="0" t="0" r="6985" b="9525"/>
            <wp:wrapNone/>
            <wp:docPr id="8" name="0 Imagen" descr="CARATULA 25 01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ARATULA 25 01 2013.jpg"/>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879715"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891" w:rsidRPr="006853C6">
        <w:rPr>
          <w:rFonts w:cs="Arial"/>
          <w:b/>
          <w:sz w:val="18"/>
          <w:szCs w:val="18"/>
          <w:lang w:val="es-BO"/>
        </w:rPr>
        <w:cr/>
      </w:r>
    </w:p>
    <w:p w:rsidR="00821891" w:rsidRPr="006853C6" w:rsidRDefault="00821891" w:rsidP="00821891">
      <w:pPr>
        <w:rPr>
          <w:lang w:val="es-BO"/>
        </w:rPr>
      </w:pPr>
    </w:p>
    <w:p w:rsidR="00821891" w:rsidRPr="006853C6" w:rsidRDefault="00821891" w:rsidP="00821891">
      <w:pPr>
        <w:rPr>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325796" w:rsidP="00821891">
      <w:pPr>
        <w:jc w:val="center"/>
        <w:rPr>
          <w:rFonts w:cs="Arial"/>
          <w:b/>
          <w:sz w:val="18"/>
          <w:szCs w:val="18"/>
          <w:lang w:val="es-BO"/>
        </w:rPr>
      </w:pPr>
      <w:r w:rsidRPr="006853C6">
        <w:rPr>
          <w:rFonts w:ascii="Century Gothic" w:hAnsi="Century Gothic"/>
          <w:b/>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-794385</wp:posOffset>
                </wp:positionH>
                <wp:positionV relativeFrom="paragraph">
                  <wp:posOffset>126365</wp:posOffset>
                </wp:positionV>
                <wp:extent cx="7112635" cy="76962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69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BD" w:rsidRPr="007663D4" w:rsidRDefault="001B76BD"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1B76BD" w:rsidRPr="007663D4" w:rsidRDefault="001B76BD"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1B76BD" w:rsidRPr="0019483F"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8"/>
                                <w:szCs w:val="36"/>
                              </w:rPr>
                            </w:pPr>
                          </w:p>
                          <w:p w:rsidR="001B76BD" w:rsidRPr="00E06083" w:rsidRDefault="001B76BD"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1B76BD" w:rsidRDefault="001B76BD"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1B76BD" w:rsidRDefault="001B76BD"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1B76BD" w:rsidRDefault="001B76BD"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1B76BD" w:rsidRPr="00E06083" w:rsidRDefault="00550FF5" w:rsidP="00804265">
                            <w:pPr>
                              <w:jc w:val="center"/>
                              <w:rPr>
                                <w:rFonts w:ascii="Century Gothic" w:hAnsi="Century Gothic"/>
                                <w:b/>
                                <w:color w:val="244061"/>
                                <w:sz w:val="44"/>
                                <w:szCs w:val="36"/>
                              </w:rPr>
                            </w:pPr>
                            <w:r>
                              <w:rPr>
                                <w:rFonts w:ascii="Century Gothic" w:hAnsi="Century Gothic"/>
                                <w:b/>
                                <w:color w:val="244061"/>
                                <w:sz w:val="44"/>
                                <w:szCs w:val="36"/>
                              </w:rPr>
                              <w:t>CUCE: 19-0633- 00-918782-2-2</w:t>
                            </w:r>
                          </w:p>
                          <w:p w:rsidR="001B76BD" w:rsidRPr="00E06083" w:rsidRDefault="001B76BD" w:rsidP="00821891">
                            <w:pPr>
                              <w:jc w:val="center"/>
                              <w:rPr>
                                <w:rFonts w:ascii="Century Gothic" w:hAnsi="Century Gothic"/>
                                <w:b/>
                                <w:color w:val="244061"/>
                                <w:sz w:val="44"/>
                                <w:szCs w:val="36"/>
                              </w:rPr>
                            </w:pPr>
                          </w:p>
                          <w:p w:rsidR="001B76BD" w:rsidRPr="00E06083" w:rsidRDefault="001B76BD"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1B76BD" w:rsidRPr="00E06083" w:rsidRDefault="001B76BD" w:rsidP="00821891">
                            <w:pPr>
                              <w:jc w:val="center"/>
                              <w:rPr>
                                <w:rFonts w:ascii="Century Gothic" w:hAnsi="Century Gothic"/>
                                <w:b/>
                                <w:color w:val="244061"/>
                                <w:sz w:val="32"/>
                                <w:szCs w:val="36"/>
                              </w:rPr>
                            </w:pPr>
                          </w:p>
                          <w:p w:rsidR="001B76BD" w:rsidRPr="00804265" w:rsidRDefault="001B76BD"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1B76BD" w:rsidRPr="000E742A" w:rsidRDefault="001B76BD" w:rsidP="00821891">
                            <w:pPr>
                              <w:ind w:right="931"/>
                              <w:rPr>
                                <w:rFonts w:ascii="Century Gothic" w:hAnsi="Century Gothic"/>
                                <w:sz w:val="18"/>
                                <w:szCs w:val="18"/>
                              </w:rPr>
                            </w:pPr>
                          </w:p>
                          <w:p w:rsidR="001B76BD" w:rsidRPr="000E742A" w:rsidRDefault="001B76BD" w:rsidP="00821891">
                            <w:pPr>
                              <w:ind w:left="567" w:right="931"/>
                              <w:rPr>
                                <w:rFonts w:ascii="Comic Sans MS" w:hAnsi="Comic Sans MS"/>
                                <w:u w:val="single"/>
                              </w:rPr>
                            </w:pPr>
                          </w:p>
                          <w:p w:rsidR="001B76BD" w:rsidRPr="000E742A" w:rsidRDefault="001B76BD" w:rsidP="00821891"/>
                          <w:p w:rsidR="001B76BD" w:rsidRPr="000E742A" w:rsidRDefault="001B76BD" w:rsidP="0082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62.55pt;margin-top:9.95pt;width:560.05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rmtgIAALs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" filled="f" stroked="f">
                <v:textbox>
                  <w:txbxContent>
                    <w:p w:rsidR="001B76BD" w:rsidRPr="007663D4" w:rsidRDefault="001B76BD"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1B76BD" w:rsidRPr="007663D4" w:rsidRDefault="001B76BD"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1B76BD" w:rsidRPr="0019483F"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rPr>
                          <w:rFonts w:ascii="Century Gothic" w:hAnsi="Century Gothic"/>
                          <w:b/>
                          <w:sz w:val="36"/>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44"/>
                          <w:szCs w:val="36"/>
                        </w:rPr>
                      </w:pPr>
                    </w:p>
                    <w:p w:rsidR="001B76BD" w:rsidRPr="000E742A" w:rsidRDefault="001B76BD" w:rsidP="00821891">
                      <w:pPr>
                        <w:jc w:val="center"/>
                        <w:rPr>
                          <w:rFonts w:ascii="Century Gothic" w:hAnsi="Century Gothic"/>
                          <w:b/>
                          <w:sz w:val="8"/>
                          <w:szCs w:val="36"/>
                        </w:rPr>
                      </w:pPr>
                    </w:p>
                    <w:p w:rsidR="001B76BD" w:rsidRPr="00E06083" w:rsidRDefault="001B76BD"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1B76BD" w:rsidRDefault="001B76BD"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1B76BD" w:rsidRDefault="001B76BD"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1B76BD" w:rsidRDefault="001B76BD"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1B76BD" w:rsidRPr="00E06083" w:rsidRDefault="00550FF5" w:rsidP="00804265">
                      <w:pPr>
                        <w:jc w:val="center"/>
                        <w:rPr>
                          <w:rFonts w:ascii="Century Gothic" w:hAnsi="Century Gothic"/>
                          <w:b/>
                          <w:color w:val="244061"/>
                          <w:sz w:val="44"/>
                          <w:szCs w:val="36"/>
                        </w:rPr>
                      </w:pPr>
                      <w:r>
                        <w:rPr>
                          <w:rFonts w:ascii="Century Gothic" w:hAnsi="Century Gothic"/>
                          <w:b/>
                          <w:color w:val="244061"/>
                          <w:sz w:val="44"/>
                          <w:szCs w:val="36"/>
                        </w:rPr>
                        <w:t>CUCE: 19-0633- 00-918782-2-2</w:t>
                      </w:r>
                    </w:p>
                    <w:p w:rsidR="001B76BD" w:rsidRPr="00E06083" w:rsidRDefault="001B76BD" w:rsidP="00821891">
                      <w:pPr>
                        <w:jc w:val="center"/>
                        <w:rPr>
                          <w:rFonts w:ascii="Century Gothic" w:hAnsi="Century Gothic"/>
                          <w:b/>
                          <w:color w:val="244061"/>
                          <w:sz w:val="44"/>
                          <w:szCs w:val="36"/>
                        </w:rPr>
                      </w:pPr>
                    </w:p>
                    <w:p w:rsidR="001B76BD" w:rsidRPr="00E06083" w:rsidRDefault="001B76BD"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1B76BD" w:rsidRPr="00E06083" w:rsidRDefault="001B76BD" w:rsidP="00821891">
                      <w:pPr>
                        <w:jc w:val="center"/>
                        <w:rPr>
                          <w:rFonts w:ascii="Century Gothic" w:hAnsi="Century Gothic"/>
                          <w:b/>
                          <w:color w:val="244061"/>
                          <w:sz w:val="32"/>
                          <w:szCs w:val="36"/>
                        </w:rPr>
                      </w:pPr>
                    </w:p>
                    <w:p w:rsidR="001B76BD" w:rsidRPr="00804265" w:rsidRDefault="001B76BD"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1B76BD" w:rsidRPr="000E742A" w:rsidRDefault="001B76BD" w:rsidP="00821891">
                      <w:pPr>
                        <w:ind w:right="931"/>
                        <w:rPr>
                          <w:rFonts w:ascii="Century Gothic" w:hAnsi="Century Gothic"/>
                          <w:sz w:val="18"/>
                          <w:szCs w:val="18"/>
                        </w:rPr>
                      </w:pPr>
                    </w:p>
                    <w:p w:rsidR="001B76BD" w:rsidRPr="000E742A" w:rsidRDefault="001B76BD" w:rsidP="00821891">
                      <w:pPr>
                        <w:ind w:left="567" w:right="931"/>
                        <w:rPr>
                          <w:rFonts w:ascii="Comic Sans MS" w:hAnsi="Comic Sans MS"/>
                          <w:u w:val="single"/>
                        </w:rPr>
                      </w:pPr>
                    </w:p>
                    <w:p w:rsidR="001B76BD" w:rsidRPr="000E742A" w:rsidRDefault="001B76BD" w:rsidP="00821891"/>
                    <w:p w:rsidR="001B76BD" w:rsidRPr="000E742A" w:rsidRDefault="001B76BD" w:rsidP="00821891"/>
                  </w:txbxContent>
                </v:textbox>
              </v:shape>
            </w:pict>
          </mc:Fallback>
        </mc:AlternateContent>
      </w: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F271DF" w:rsidRPr="00003098" w:rsidRDefault="00325796" w:rsidP="00003098">
      <w:pPr>
        <w:rPr>
          <w:rFonts w:cs="Arial"/>
          <w:b/>
          <w:sz w:val="18"/>
          <w:szCs w:val="18"/>
          <w:lang w:val="es-BO"/>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-142875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B76BD" w:rsidRPr="00946F96" w:rsidRDefault="001B76BD"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1B76BD" w:rsidRPr="00E06083" w:rsidRDefault="001B76BD"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1B76BD" w:rsidRPr="00E06083" w:rsidRDefault="001B76BD"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1B76BD" w:rsidRDefault="001B76BD" w:rsidP="00821891"/>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7" style="position:absolute;margin-left:-11.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" o:allowincell="f" fillcolor="#243f60" stroked="f" strokecolor="white">
                <v:fill opacity="40092f"/>
                <v:textbox inset="6.75pt,3.75pt,6.75pt,3.75pt">
                  <w:txbxContent>
                    <w:p w:rsidR="001B76BD" w:rsidRPr="00946F96" w:rsidRDefault="001B76BD"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1B76BD" w:rsidRPr="00E06083" w:rsidRDefault="001B76BD"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1B76BD" w:rsidRPr="00E06083" w:rsidRDefault="001B76BD"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1B76BD" w:rsidRDefault="001B76BD" w:rsidP="00821891"/>
                  </w:txbxContent>
                </v:textbox>
                <w10:wrap anchorx="page" anchory="page"/>
              </v:rect>
            </w:pict>
          </mc:Fallback>
        </mc:AlternateContent>
      </w: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C006D5" w:rsidRPr="006853C6" w:rsidRDefault="00C006D5" w:rsidP="00C006D5">
      <w:pPr>
        <w:ind w:left="426"/>
        <w:jc w:val="both"/>
        <w:rPr>
          <w:rFonts w:cs="Tahoma"/>
          <w:sz w:val="18"/>
          <w:szCs w:val="18"/>
          <w:lang w:val="es-BO"/>
        </w:rPr>
      </w:pPr>
    </w:p>
    <w:p w:rsidR="00C006D5" w:rsidRPr="006853C6" w:rsidRDefault="000248A2" w:rsidP="000248A2">
      <w:pPr>
        <w:pStyle w:val="TtuloTDC"/>
        <w:spacing w:before="0"/>
        <w:jc w:val="center"/>
        <w:rPr>
          <w:color w:val="auto"/>
          <w:sz w:val="24"/>
          <w:lang w:val="es-BO"/>
        </w:rPr>
      </w:pPr>
      <w:r w:rsidRPr="006853C6">
        <w:rPr>
          <w:color w:val="auto"/>
          <w:sz w:val="24"/>
          <w:lang w:val="es-BO"/>
        </w:rPr>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D933F5">
          <w:rPr>
            <w:noProof/>
            <w:webHidden/>
          </w:rPr>
          <w:t>1</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D933F5">
          <w:rPr>
            <w:noProof/>
            <w:webHidden/>
          </w:rPr>
          <w:t>1</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D933F5">
          <w:rPr>
            <w:noProof/>
            <w:webHidden/>
          </w:rPr>
          <w:t>1</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D933F5">
          <w:rPr>
            <w:noProof/>
            <w:webHidden/>
          </w:rPr>
          <w:t>1</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D933F5">
          <w:rPr>
            <w:noProof/>
            <w:webHidden/>
          </w:rPr>
          <w:t>2</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D933F5">
          <w:rPr>
            <w:noProof/>
            <w:webHidden/>
          </w:rPr>
          <w:t>3</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D933F5">
          <w:rPr>
            <w:noProof/>
            <w:webHidden/>
          </w:rPr>
          <w:t>4</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D933F5">
          <w:rPr>
            <w:noProof/>
            <w:webHidden/>
          </w:rPr>
          <w:t>4</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D933F5">
          <w:rPr>
            <w:noProof/>
            <w:webHidden/>
          </w:rPr>
          <w:t>4</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D933F5">
          <w:rPr>
            <w:noProof/>
            <w:webHidden/>
          </w:rPr>
          <w:t>4</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D933F5">
          <w:rPr>
            <w:noProof/>
            <w:webHidden/>
          </w:rPr>
          <w:t>5</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D933F5">
          <w:rPr>
            <w:noProof/>
            <w:webHidden/>
          </w:rPr>
          <w:t>6</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D933F5">
          <w:rPr>
            <w:noProof/>
            <w:webHidden/>
          </w:rPr>
          <w:t>7</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D933F5">
          <w:rPr>
            <w:noProof/>
            <w:webHidden/>
          </w:rPr>
          <w:t>8</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D933F5">
          <w:rPr>
            <w:noProof/>
            <w:webHidden/>
          </w:rPr>
          <w:t>8</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D933F5">
          <w:rPr>
            <w:noProof/>
            <w:webHidden/>
          </w:rPr>
          <w:t>9</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D933F5">
          <w:rPr>
            <w:noProof/>
            <w:webHidden/>
          </w:rPr>
          <w:t>9</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D933F5">
          <w:rPr>
            <w:noProof/>
            <w:webHidden/>
          </w:rPr>
          <w:t>10</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D933F5">
          <w:rPr>
            <w:noProof/>
            <w:webHidden/>
          </w:rPr>
          <w:t>10</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D933F5">
          <w:rPr>
            <w:noProof/>
            <w:webHidden/>
          </w:rPr>
          <w:t>13</w:t>
        </w:r>
        <w:r w:rsidR="00747005">
          <w:rPr>
            <w:noProof/>
            <w:webHidden/>
          </w:rPr>
          <w:fldChar w:fldCharType="end"/>
        </w:r>
      </w:hyperlink>
    </w:p>
    <w:p w:rsidR="00747005" w:rsidRDefault="003F1893">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D933F5">
          <w:rPr>
            <w:noProof/>
            <w:webHidden/>
          </w:rPr>
          <w:t>15</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631F17">
      <w:pPr>
        <w:pStyle w:val="Ttulo"/>
        <w:numPr>
          <w:ilvl w:val="0"/>
          <w:numId w:val="28"/>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631F17">
      <w:pPr>
        <w:pStyle w:val="Ttulo"/>
        <w:numPr>
          <w:ilvl w:val="0"/>
          <w:numId w:val="28"/>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631F17">
      <w:pPr>
        <w:numPr>
          <w:ilvl w:val="0"/>
          <w:numId w:val="26"/>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FC24D7">
      <w:pPr>
        <w:pStyle w:val="Ttulo"/>
        <w:numPr>
          <w:ilvl w:val="0"/>
          <w:numId w:val="28"/>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7978DB" w:rsidRPr="006853C6" w:rsidRDefault="007978DB" w:rsidP="00FC24D7">
      <w:pPr>
        <w:jc w:val="both"/>
        <w:rPr>
          <w:rFonts w:cs="Tahoma"/>
          <w:b/>
          <w:sz w:val="18"/>
          <w:szCs w:val="18"/>
          <w:lang w:val="es-BO"/>
        </w:rPr>
      </w:pPr>
    </w:p>
    <w:p w:rsidR="00AB507C" w:rsidRPr="006853C6" w:rsidRDefault="00AB507C" w:rsidP="00FC24D7">
      <w:pPr>
        <w:ind w:firstLine="360"/>
        <w:jc w:val="both"/>
        <w:rPr>
          <w:rFonts w:cs="Arial"/>
          <w:sz w:val="18"/>
          <w:szCs w:val="18"/>
          <w:lang w:val="es-BO"/>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6853C6">
        <w:rPr>
          <w:rFonts w:ascii="Verdana" w:hAnsi="Verdana"/>
          <w:b/>
          <w:sz w:val="18"/>
          <w:szCs w:val="18"/>
          <w:lang w:val="es-BO"/>
        </w:rPr>
        <w:t>Inspección Previa</w:t>
      </w:r>
      <w:bookmarkEnd w:id="3"/>
      <w:r w:rsidRPr="006853C6">
        <w:rPr>
          <w:rFonts w:ascii="Verdana" w:hAnsi="Verdana"/>
          <w:b/>
          <w:sz w:val="18"/>
          <w:szCs w:val="18"/>
          <w:lang w:val="es-BO"/>
        </w:rPr>
        <w:t xml:space="preserve"> </w:t>
      </w:r>
      <w:r w:rsidR="00003098">
        <w:rPr>
          <w:rFonts w:ascii="Verdana" w:hAnsi="Verdana"/>
          <w:b/>
          <w:sz w:val="18"/>
          <w:szCs w:val="18"/>
          <w:lang w:val="es-BO"/>
        </w:rPr>
        <w:t>(NO CORRESPONDE)</w:t>
      </w:r>
    </w:p>
    <w:p w:rsidR="00AB507C" w:rsidRPr="006853C6" w:rsidRDefault="00AB507C" w:rsidP="00FC24D7">
      <w:pPr>
        <w:tabs>
          <w:tab w:val="num" w:pos="1134"/>
        </w:tabs>
        <w:ind w:left="1134"/>
        <w:jc w:val="both"/>
        <w:rPr>
          <w:rFonts w:cs="Tahoma"/>
          <w:sz w:val="18"/>
          <w:szCs w:val="18"/>
          <w:lang w:val="es-BO"/>
        </w:rPr>
      </w:pPr>
    </w:p>
    <w:p w:rsidR="00BD6F5A" w:rsidRPr="006853C6" w:rsidRDefault="00BD6F5A" w:rsidP="00FC24D7">
      <w:pPr>
        <w:tabs>
          <w:tab w:val="num" w:pos="1134"/>
        </w:tabs>
        <w:ind w:left="1134" w:hanging="567"/>
        <w:jc w:val="both"/>
        <w:rPr>
          <w:rFonts w:cs="Tahoma"/>
          <w:sz w:val="18"/>
          <w:szCs w:val="18"/>
          <w:lang w:val="es-BO"/>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6853C6">
        <w:rPr>
          <w:rFonts w:ascii="Verdana" w:hAnsi="Verdana"/>
          <w:b/>
          <w:sz w:val="18"/>
          <w:szCs w:val="18"/>
          <w:lang w:val="es-BO"/>
        </w:rPr>
        <w:t>Consultas escritas sobre el DBC</w:t>
      </w:r>
      <w:bookmarkEnd w:id="4"/>
      <w:r w:rsidRPr="006853C6">
        <w:rPr>
          <w:rFonts w:ascii="Verdana" w:hAnsi="Verdana"/>
          <w:b/>
          <w:sz w:val="18"/>
          <w:szCs w:val="18"/>
          <w:lang w:val="es-BO"/>
        </w:rPr>
        <w:t xml:space="preserve"> </w:t>
      </w:r>
      <w:r w:rsidR="00003098">
        <w:rPr>
          <w:rFonts w:ascii="Verdana" w:hAnsi="Verdana"/>
          <w:b/>
          <w:sz w:val="18"/>
          <w:szCs w:val="18"/>
          <w:lang w:val="es-BO"/>
        </w:rPr>
        <w:t xml:space="preserve">(NO CORRESPONDE) </w:t>
      </w:r>
    </w:p>
    <w:p w:rsidR="00567A08" w:rsidRPr="006853C6" w:rsidRDefault="00567A08" w:rsidP="00FC24D7">
      <w:pPr>
        <w:pStyle w:val="Prrafodelista"/>
        <w:ind w:left="1134"/>
        <w:jc w:val="both"/>
        <w:rPr>
          <w:rFonts w:ascii="Verdana" w:hAnsi="Verdana"/>
          <w:b/>
          <w:sz w:val="18"/>
          <w:szCs w:val="18"/>
          <w:lang w:val="es-BO"/>
        </w:rPr>
      </w:pPr>
    </w:p>
    <w:p w:rsidR="00BD6F5A" w:rsidRPr="006853C6" w:rsidRDefault="00BD6F5A" w:rsidP="00FC24D7">
      <w:pPr>
        <w:tabs>
          <w:tab w:val="num" w:pos="1134"/>
        </w:tabs>
        <w:ind w:left="1134" w:hanging="567"/>
        <w:jc w:val="both"/>
        <w:rPr>
          <w:rFonts w:cs="Tahoma"/>
          <w:sz w:val="18"/>
          <w:szCs w:val="18"/>
          <w:lang w:val="es-BO"/>
        </w:rPr>
      </w:pPr>
      <w:r w:rsidRPr="006853C6">
        <w:rPr>
          <w:rFonts w:cs="Tahoma"/>
          <w:sz w:val="18"/>
          <w:szCs w:val="18"/>
          <w:lang w:val="es-BO"/>
        </w:rPr>
        <w:tab/>
      </w:r>
    </w:p>
    <w:p w:rsidR="00007C0A" w:rsidRPr="00003098" w:rsidRDefault="00BD6F5A" w:rsidP="00003098">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6853C6">
        <w:rPr>
          <w:rFonts w:ascii="Verdana" w:hAnsi="Verdana"/>
          <w:b/>
          <w:sz w:val="18"/>
          <w:szCs w:val="18"/>
          <w:lang w:val="es-BO"/>
        </w:rPr>
        <w:t>Reunión Informativa de Aclaración</w:t>
      </w:r>
      <w:bookmarkEnd w:id="5"/>
      <w:r w:rsidRPr="006853C6">
        <w:rPr>
          <w:rFonts w:ascii="Verdana" w:hAnsi="Verdana"/>
          <w:b/>
          <w:sz w:val="18"/>
          <w:szCs w:val="18"/>
          <w:lang w:val="es-BO"/>
        </w:rPr>
        <w:t xml:space="preserve"> </w:t>
      </w:r>
      <w:r w:rsidR="00003098">
        <w:rPr>
          <w:rFonts w:ascii="Verdana" w:hAnsi="Verdana"/>
          <w:b/>
          <w:sz w:val="18"/>
          <w:szCs w:val="18"/>
          <w:lang w:val="es-BO"/>
        </w:rPr>
        <w:t>(NO CORRESPONDE)</w:t>
      </w:r>
    </w:p>
    <w:p w:rsidR="00007C0A" w:rsidRPr="006853C6" w:rsidRDefault="00007C0A" w:rsidP="00FC24D7">
      <w:pPr>
        <w:pStyle w:val="Prrafodelista"/>
        <w:ind w:left="1134"/>
        <w:jc w:val="both"/>
        <w:rPr>
          <w:rFonts w:ascii="Verdana" w:hAnsi="Verdana" w:cs="Tahoma"/>
          <w:sz w:val="18"/>
          <w:szCs w:val="18"/>
          <w:lang w:val="es-BO"/>
        </w:rPr>
      </w:pPr>
    </w:p>
    <w:p w:rsidR="00D944A7" w:rsidRPr="006853C6" w:rsidRDefault="00D944A7" w:rsidP="004247A1">
      <w:pPr>
        <w:jc w:val="both"/>
        <w:rPr>
          <w:rFonts w:cs="Tahoma"/>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4247A1" w:rsidRPr="006853C6" w:rsidRDefault="004247A1"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lang w:val="es-BO"/>
        </w:rPr>
        <w:lastRenderedPageBreak/>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631F17">
      <w:pPr>
        <w:numPr>
          <w:ilvl w:val="0"/>
          <w:numId w:val="16"/>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631F17">
      <w:pPr>
        <w:numPr>
          <w:ilvl w:val="0"/>
          <w:numId w:val="16"/>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631F17">
      <w:pPr>
        <w:numPr>
          <w:ilvl w:val="0"/>
          <w:numId w:val="16"/>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631F17">
      <w:pPr>
        <w:numPr>
          <w:ilvl w:val="0"/>
          <w:numId w:val="16"/>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631F17">
      <w:pPr>
        <w:numPr>
          <w:ilvl w:val="0"/>
          <w:numId w:val="16"/>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631F17">
      <w:pPr>
        <w:pStyle w:val="Prrafodelista"/>
        <w:numPr>
          <w:ilvl w:val="1"/>
          <w:numId w:val="27"/>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 xml:space="preserve">entre el monto total de la propuesta y el monto revisado </w:t>
      </w:r>
      <w:r w:rsidR="00414BFB" w:rsidRPr="006853C6">
        <w:rPr>
          <w:rFonts w:ascii="Verdana" w:hAnsi="Verdana" w:cs="Arial"/>
          <w:sz w:val="18"/>
          <w:szCs w:val="18"/>
          <w:lang w:val="es-BO"/>
        </w:rPr>
        <w:lastRenderedPageBreak/>
        <w:t>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Pr="006853C6" w:rsidRDefault="00DE4C2E" w:rsidP="004247A1">
      <w:pPr>
        <w:pStyle w:val="Prrafodelista"/>
        <w:tabs>
          <w:tab w:val="left" w:pos="3310"/>
        </w:tabs>
        <w:ind w:left="567"/>
        <w:jc w:val="both"/>
        <w:rPr>
          <w:rFonts w:ascii="Verdana" w:hAnsi="Verdana" w:cs="Arial"/>
          <w:sz w:val="18"/>
          <w:szCs w:val="18"/>
          <w:lang w:val="es-BO"/>
        </w:rPr>
      </w:pP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631F17">
      <w:pPr>
        <w:pStyle w:val="Ttulo"/>
        <w:numPr>
          <w:ilvl w:val="0"/>
          <w:numId w:val="28"/>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Se deberán considerar como criterios de subsanabilidad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lastRenderedPageBreak/>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F37CA1" w:rsidRPr="006853C6" w:rsidRDefault="00F37CA1" w:rsidP="004247A1">
      <w:pPr>
        <w:ind w:left="72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631F17">
      <w:pPr>
        <w:pStyle w:val="Ttulo"/>
        <w:numPr>
          <w:ilvl w:val="0"/>
          <w:numId w:val="28"/>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lastRenderedPageBreak/>
        <w:t>Formulario Hoja de Vida</w:t>
      </w:r>
      <w:r w:rsidR="00CA07B6" w:rsidRPr="006853C6">
        <w:rPr>
          <w:rFonts w:cs="Arial"/>
          <w:sz w:val="18"/>
          <w:szCs w:val="18"/>
          <w:lang w:val="es-BO"/>
        </w:rPr>
        <w:t xml:space="preserve"> del Personal Clave (Formulario A-5).</w:t>
      </w:r>
    </w:p>
    <w:p w:rsidR="00440281" w:rsidRPr="006853C6" w:rsidRDefault="00C13BD5" w:rsidP="00631F17">
      <w:pPr>
        <w:pStyle w:val="Prrafodelista"/>
        <w:numPr>
          <w:ilvl w:val="0"/>
          <w:numId w:val="17"/>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631F17">
      <w:pPr>
        <w:pStyle w:val="Prrafodelista"/>
        <w:numPr>
          <w:ilvl w:val="1"/>
          <w:numId w:val="28"/>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631F17">
      <w:pPr>
        <w:pStyle w:val="Prrafodelista"/>
        <w:numPr>
          <w:ilvl w:val="1"/>
          <w:numId w:val="28"/>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lastRenderedPageBreak/>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D41FC6" w:rsidRPr="006853C6" w:rsidRDefault="00D41FC6" w:rsidP="00D41FC6">
      <w:pPr>
        <w:tabs>
          <w:tab w:val="num" w:pos="1440"/>
        </w:tabs>
        <w:ind w:left="900"/>
        <w:jc w:val="both"/>
        <w:rPr>
          <w:rFonts w:cs="Tahoma"/>
          <w:sz w:val="18"/>
          <w:szCs w:val="18"/>
          <w:lang w:val="es-BO" w:eastAsia="en-US"/>
        </w:rPr>
      </w:pPr>
    </w:p>
    <w:p w:rsidR="00E55452" w:rsidRPr="006853C6" w:rsidRDefault="0005679E" w:rsidP="00631F17">
      <w:pPr>
        <w:pStyle w:val="Ttulo"/>
        <w:numPr>
          <w:ilvl w:val="0"/>
          <w:numId w:val="28"/>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631F17">
      <w:pPr>
        <w:pStyle w:val="Ttulo"/>
        <w:numPr>
          <w:ilvl w:val="0"/>
          <w:numId w:val="28"/>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6853C6" w:rsidRDefault="00CA6874" w:rsidP="00CA3B03">
      <w:pPr>
        <w:numPr>
          <w:ilvl w:val="0"/>
          <w:numId w:val="10"/>
        </w:numPr>
        <w:tabs>
          <w:tab w:val="clear" w:pos="1211"/>
        </w:tabs>
        <w:ind w:left="1134" w:hanging="425"/>
        <w:jc w:val="both"/>
        <w:rPr>
          <w:rFonts w:cs="Tahoma"/>
          <w:b/>
          <w:sz w:val="18"/>
          <w:szCs w:val="18"/>
          <w:lang w:val="es-BO"/>
        </w:rPr>
      </w:pPr>
      <w:r w:rsidRPr="006853C6">
        <w:rPr>
          <w:rFonts w:cs="Tahoma"/>
          <w:sz w:val="18"/>
          <w:szCs w:val="18"/>
          <w:lang w:val="es-BO"/>
        </w:rPr>
        <w:t>Calidad, Propuesta Técnica y Costo.</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Calidad.</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Presupuesto Fijo.</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Menor Costo.</w:t>
      </w:r>
    </w:p>
    <w:p w:rsidR="00985276" w:rsidRPr="006853C6" w:rsidRDefault="00985276" w:rsidP="00CA6874">
      <w:pPr>
        <w:ind w:left="360"/>
        <w:jc w:val="both"/>
        <w:rPr>
          <w:rFonts w:cs="Tahoma"/>
          <w:b/>
          <w:sz w:val="18"/>
          <w:szCs w:val="18"/>
          <w:lang w:val="es-BO"/>
        </w:rPr>
      </w:pPr>
    </w:p>
    <w:p w:rsidR="00CA6874" w:rsidRPr="006853C6" w:rsidRDefault="00CA6874" w:rsidP="00631F17">
      <w:pPr>
        <w:pStyle w:val="Ttulo"/>
        <w:numPr>
          <w:ilvl w:val="0"/>
          <w:numId w:val="28"/>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631F17">
      <w:pPr>
        <w:pStyle w:val="Ttulo"/>
        <w:numPr>
          <w:ilvl w:val="0"/>
          <w:numId w:val="28"/>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r w:rsidR="00003098">
        <w:rPr>
          <w:rFonts w:ascii="Verdana" w:hAnsi="Verdana"/>
          <w:sz w:val="18"/>
          <w:szCs w:val="18"/>
          <w:lang w:val="es-BO"/>
        </w:rPr>
        <w:t xml:space="preserve"> “NO APLICA ESTE METODO”</w:t>
      </w:r>
    </w:p>
    <w:p w:rsidR="006362BF" w:rsidRPr="006853C6" w:rsidRDefault="006362BF" w:rsidP="006362BF">
      <w:pPr>
        <w:tabs>
          <w:tab w:val="left" w:pos="567"/>
        </w:tabs>
        <w:ind w:left="567"/>
        <w:jc w:val="both"/>
        <w:rPr>
          <w:rFonts w:cs="Arial"/>
          <w:b/>
          <w:sz w:val="18"/>
          <w:szCs w:val="18"/>
          <w:lang w:val="es-BO"/>
        </w:rPr>
      </w:pPr>
    </w:p>
    <w:p w:rsidR="00F80AD4" w:rsidRPr="006853C6" w:rsidRDefault="00F80AD4" w:rsidP="00631F17">
      <w:pPr>
        <w:pStyle w:val="Ttulo"/>
        <w:numPr>
          <w:ilvl w:val="0"/>
          <w:numId w:val="28"/>
        </w:numPr>
        <w:spacing w:before="0" w:after="0"/>
        <w:jc w:val="both"/>
        <w:rPr>
          <w:rFonts w:ascii="Verdana" w:hAnsi="Verdana"/>
          <w:sz w:val="18"/>
          <w:szCs w:val="18"/>
          <w:lang w:val="es-BO"/>
        </w:rPr>
      </w:pPr>
      <w:bookmarkStart w:id="23" w:name="_Toc517891399"/>
      <w:r w:rsidRPr="006853C6">
        <w:rPr>
          <w:rFonts w:ascii="Verdana" w:hAnsi="Verdana"/>
          <w:sz w:val="18"/>
          <w:szCs w:val="18"/>
          <w:lang w:val="es-BO"/>
        </w:rPr>
        <w:t>MÉTODO DE SELECCIÓN Y ADJUDICACIÓN CALIDAD</w:t>
      </w:r>
      <w:bookmarkEnd w:id="23"/>
      <w:r w:rsidR="00003098">
        <w:rPr>
          <w:rFonts w:ascii="Verdana" w:hAnsi="Verdana"/>
          <w:sz w:val="18"/>
          <w:szCs w:val="18"/>
          <w:lang w:val="es-BO"/>
        </w:rPr>
        <w:t xml:space="preserve"> “NO APLICA ESTE METODO”</w:t>
      </w:r>
    </w:p>
    <w:p w:rsidR="00F80AD4" w:rsidRPr="006853C6" w:rsidRDefault="00F80AD4" w:rsidP="00F80AD4">
      <w:pPr>
        <w:ind w:left="567"/>
        <w:jc w:val="both"/>
        <w:rPr>
          <w:rFonts w:cs="Arial"/>
          <w:b/>
          <w:sz w:val="18"/>
          <w:szCs w:val="18"/>
          <w:lang w:val="es-BO"/>
        </w:rPr>
      </w:pPr>
    </w:p>
    <w:p w:rsidR="00F80AD4" w:rsidRPr="006853C6" w:rsidRDefault="00F80AD4" w:rsidP="006362BF">
      <w:pPr>
        <w:ind w:left="567"/>
        <w:jc w:val="both"/>
        <w:rPr>
          <w:rFonts w:cs="Arial"/>
          <w:b/>
          <w:sz w:val="18"/>
          <w:szCs w:val="18"/>
          <w:lang w:val="es-BO"/>
        </w:rPr>
      </w:pPr>
    </w:p>
    <w:p w:rsidR="00544884" w:rsidRPr="006853C6" w:rsidRDefault="00544884" w:rsidP="00631F17">
      <w:pPr>
        <w:pStyle w:val="Ttulo"/>
        <w:numPr>
          <w:ilvl w:val="0"/>
          <w:numId w:val="28"/>
        </w:numPr>
        <w:spacing w:before="0" w:after="0"/>
        <w:jc w:val="both"/>
        <w:rPr>
          <w:rFonts w:ascii="Verdana" w:hAnsi="Verdana"/>
          <w:sz w:val="18"/>
          <w:szCs w:val="18"/>
          <w:lang w:val="es-BO"/>
        </w:rPr>
      </w:pPr>
      <w:bookmarkStart w:id="24" w:name="_Toc517891400"/>
      <w:r w:rsidRPr="006853C6">
        <w:rPr>
          <w:rFonts w:ascii="Verdana" w:hAnsi="Verdana"/>
          <w:sz w:val="18"/>
          <w:szCs w:val="18"/>
          <w:lang w:val="es-BO"/>
        </w:rPr>
        <w:t>MÉTODO DE SELECCIÓN Y ADJUDICACIÓN PRESUPUESTO FIJO</w:t>
      </w:r>
      <w:bookmarkEnd w:id="24"/>
      <w:r w:rsidR="00003098">
        <w:rPr>
          <w:rFonts w:ascii="Verdana" w:hAnsi="Verdana"/>
          <w:sz w:val="18"/>
          <w:szCs w:val="18"/>
          <w:lang w:val="es-BO"/>
        </w:rPr>
        <w:t xml:space="preserve"> “NO APLICA ESTE METODO”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0972DC" w:rsidRPr="006853C6" w:rsidRDefault="000972DC" w:rsidP="007A588B">
      <w:pPr>
        <w:ind w:left="540" w:right="-4"/>
        <w:jc w:val="both"/>
        <w:rPr>
          <w:rFonts w:cs="Arial"/>
          <w:b/>
          <w:sz w:val="18"/>
          <w:szCs w:val="18"/>
          <w:lang w:val="es-BO"/>
        </w:rPr>
      </w:pPr>
    </w:p>
    <w:p w:rsidR="002F1B02" w:rsidRPr="006853C6" w:rsidRDefault="002F1B02" w:rsidP="00631F17">
      <w:pPr>
        <w:pStyle w:val="Ttulo"/>
        <w:numPr>
          <w:ilvl w:val="0"/>
          <w:numId w:val="28"/>
        </w:numPr>
        <w:spacing w:before="0" w:after="0"/>
        <w:jc w:val="both"/>
        <w:rPr>
          <w:rFonts w:ascii="Verdana" w:hAnsi="Verdana"/>
          <w:sz w:val="18"/>
          <w:szCs w:val="18"/>
          <w:lang w:val="es-BO"/>
        </w:rPr>
      </w:pPr>
      <w:bookmarkStart w:id="25" w:name="_Toc517891401"/>
      <w:r w:rsidRPr="006853C6">
        <w:rPr>
          <w:rFonts w:ascii="Verdana" w:hAnsi="Verdana"/>
          <w:sz w:val="18"/>
          <w:szCs w:val="18"/>
          <w:lang w:val="es-BO"/>
        </w:rPr>
        <w:t>MÉTODO DE SELECCIÓN Y ADJUDICACIÓN MENOR COSTO</w:t>
      </w:r>
      <w:bookmarkEnd w:id="25"/>
    </w:p>
    <w:p w:rsidR="003F7C38" w:rsidRPr="006853C6" w:rsidRDefault="003F7C38" w:rsidP="003F7C38">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1237DA" w:rsidRPr="006853C6" w:rsidRDefault="001237DA" w:rsidP="001237DA">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w:t>
      </w:r>
      <w:r w:rsidR="008452F8" w:rsidRPr="006853C6">
        <w:rPr>
          <w:rFonts w:cs="Arial"/>
          <w:sz w:val="18"/>
          <w:szCs w:val="18"/>
          <w:lang w:val="es-BO"/>
        </w:rPr>
        <w:t>S</w:t>
      </w:r>
      <w:r w:rsidRPr="006853C6">
        <w:rPr>
          <w:rFonts w:cs="Arial"/>
          <w:sz w:val="18"/>
          <w:szCs w:val="18"/>
          <w:lang w:val="es-BO"/>
        </w:rPr>
        <w:t xml:space="preserve">in puntuación </w:t>
      </w:r>
    </w:p>
    <w:p w:rsidR="001237DA" w:rsidRPr="006853C6" w:rsidRDefault="001237DA" w:rsidP="001237DA">
      <w:pPr>
        <w:ind w:left="525"/>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1237DA" w:rsidRPr="006853C6" w:rsidRDefault="001237DA" w:rsidP="001237DA">
      <w:pPr>
        <w:pStyle w:val="Prrafodelista"/>
        <w:tabs>
          <w:tab w:val="left" w:pos="567"/>
        </w:tabs>
        <w:jc w:val="both"/>
        <w:rPr>
          <w:rFonts w:ascii="Verdana" w:hAnsi="Verdana" w:cs="Arial"/>
          <w:b/>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6" w:name="_Toc378863812"/>
      <w:r w:rsidRPr="006853C6">
        <w:rPr>
          <w:rFonts w:ascii="Verdana" w:hAnsi="Verdana"/>
          <w:b/>
          <w:sz w:val="18"/>
          <w:lang w:val="es-BO"/>
        </w:rPr>
        <w:t>Evaluación de la Propuesta Económica</w:t>
      </w:r>
      <w:bookmarkEnd w:id="26"/>
    </w:p>
    <w:p w:rsidR="001237DA" w:rsidRPr="006853C6" w:rsidRDefault="001237DA" w:rsidP="001237DA">
      <w:pPr>
        <w:tabs>
          <w:tab w:val="left" w:pos="567"/>
        </w:tabs>
        <w:ind w:left="420"/>
        <w:jc w:val="both"/>
        <w:rPr>
          <w:rFonts w:cs="Arial"/>
          <w:sz w:val="18"/>
          <w:szCs w:val="18"/>
          <w:lang w:val="es-BO"/>
        </w:rPr>
      </w:pPr>
    </w:p>
    <w:p w:rsidR="00C006D5" w:rsidRPr="006853C6" w:rsidRDefault="002B5DA1" w:rsidP="00631F17">
      <w:pPr>
        <w:pStyle w:val="Prrafodelista"/>
        <w:numPr>
          <w:ilvl w:val="2"/>
          <w:numId w:val="28"/>
        </w:numPr>
        <w:ind w:left="1985"/>
        <w:jc w:val="both"/>
        <w:rPr>
          <w:rFonts w:ascii="Verdana" w:hAnsi="Verdana"/>
          <w:b/>
          <w:sz w:val="18"/>
          <w:lang w:val="es-BO"/>
        </w:rPr>
      </w:pPr>
      <w:r w:rsidRPr="006853C6">
        <w:rPr>
          <w:rFonts w:ascii="Verdana" w:hAnsi="Verdana"/>
          <w:b/>
          <w:sz w:val="18"/>
          <w:lang w:val="es-BO"/>
        </w:rPr>
        <w:t>Errores Aritméticos</w:t>
      </w:r>
    </w:p>
    <w:p w:rsidR="002B5DA1" w:rsidRPr="006853C6" w:rsidRDefault="002B5DA1" w:rsidP="002B5DA1">
      <w:pPr>
        <w:pStyle w:val="Prrafodelista"/>
        <w:ind w:left="1985"/>
        <w:jc w:val="both"/>
        <w:rPr>
          <w:rFonts w:ascii="Verdana" w:hAnsi="Verdana"/>
          <w:b/>
          <w:sz w:val="18"/>
          <w:lang w:val="es-BO"/>
        </w:rPr>
      </w:pPr>
    </w:p>
    <w:p w:rsidR="001237DA" w:rsidRPr="006853C6" w:rsidRDefault="001237DA" w:rsidP="002B5DA1">
      <w:pPr>
        <w:pStyle w:val="Prrafodelista"/>
        <w:ind w:left="1985"/>
        <w:jc w:val="both"/>
        <w:rPr>
          <w:rFonts w:ascii="Verdana" w:hAnsi="Verdana" w:cs="Arial"/>
          <w:sz w:val="18"/>
          <w:szCs w:val="18"/>
          <w:lang w:val="es-BO"/>
        </w:rPr>
      </w:pPr>
      <w:r w:rsidRPr="006853C6">
        <w:rPr>
          <w:rFonts w:ascii="Verdana" w:hAnsi="Verdana"/>
          <w:sz w:val="18"/>
          <w:lang w:val="es-BO"/>
        </w:rPr>
        <w:t>Se</w:t>
      </w:r>
      <w:r w:rsidRPr="006853C6">
        <w:rPr>
          <w:rFonts w:ascii="Verdana" w:hAnsi="Verdana" w:cs="Arial"/>
          <w:sz w:val="18"/>
          <w:szCs w:val="18"/>
          <w:lang w:val="es-BO"/>
        </w:rPr>
        <w:t xml:space="preserve"> corregirán los errores aritméticos, verificando la propuesta económica </w:t>
      </w:r>
      <w:r w:rsidR="00E60C22" w:rsidRPr="006853C6">
        <w:rPr>
          <w:rFonts w:ascii="Verdana" w:hAnsi="Verdana" w:cs="Arial"/>
          <w:sz w:val="18"/>
          <w:szCs w:val="18"/>
          <w:lang w:val="es-BO"/>
        </w:rPr>
        <w:t xml:space="preserve">en el </w:t>
      </w:r>
      <w:r w:rsidRPr="006853C6">
        <w:rPr>
          <w:rFonts w:ascii="Verdana" w:hAnsi="Verdana" w:cs="Arial"/>
          <w:sz w:val="18"/>
          <w:szCs w:val="18"/>
          <w:lang w:val="es-BO"/>
        </w:rPr>
        <w:t>Formulario B-1 de cada propuesta, considerando lo siguiente:</w:t>
      </w:r>
    </w:p>
    <w:p w:rsidR="001237DA" w:rsidRPr="006853C6" w:rsidRDefault="001237DA" w:rsidP="001237DA">
      <w:pPr>
        <w:tabs>
          <w:tab w:val="num" w:pos="1440"/>
        </w:tabs>
        <w:ind w:left="2124"/>
        <w:jc w:val="both"/>
        <w:rPr>
          <w:rFonts w:cs="Arial"/>
          <w:b/>
          <w:sz w:val="18"/>
          <w:szCs w:val="18"/>
          <w:lang w:val="es-BO"/>
        </w:rPr>
      </w:pP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Si la diferencia entre el numeral y el literal es menor o igual al dos por ciento (2%), se ajustará la propuesta; caso contrario la propuesta será descalificada.</w:t>
      </w:r>
    </w:p>
    <w:p w:rsidR="001237DA" w:rsidRPr="006853C6" w:rsidRDefault="001237DA" w:rsidP="001237DA">
      <w:pPr>
        <w:ind w:left="108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F6167A" w:rsidRPr="006853C6">
        <w:rPr>
          <w:rFonts w:ascii="Verdana" w:hAnsi="Verdana"/>
          <w:sz w:val="18"/>
          <w:lang w:val="es-BO"/>
        </w:rPr>
        <w:t>en la etapa de la Evaluación Económica</w:t>
      </w:r>
      <w:r w:rsidRPr="006853C6">
        <w:rPr>
          <w:rFonts w:ascii="Verdana" w:hAnsi="Verdana"/>
          <w:sz w:val="18"/>
          <w:lang w:val="es-BO"/>
        </w:rPr>
        <w:t>, pasar</w:t>
      </w:r>
      <w:r w:rsidR="003C37AD" w:rsidRPr="006853C6">
        <w:rPr>
          <w:rFonts w:ascii="Verdana" w:hAnsi="Verdana"/>
          <w:sz w:val="18"/>
          <w:lang w:val="es-BO"/>
        </w:rPr>
        <w:t>á</w:t>
      </w:r>
      <w:r w:rsidRPr="006853C6">
        <w:rPr>
          <w:rFonts w:ascii="Verdana" w:hAnsi="Verdana"/>
          <w:sz w:val="18"/>
          <w:lang w:val="es-BO"/>
        </w:rPr>
        <w:t>n a la Evaluación de la Propuesta Técnica.</w:t>
      </w:r>
    </w:p>
    <w:p w:rsidR="00F37CA1" w:rsidRPr="006853C6" w:rsidRDefault="00F37CA1" w:rsidP="001237DA">
      <w:pPr>
        <w:tabs>
          <w:tab w:val="left" w:pos="567"/>
        </w:tabs>
        <w:ind w:left="567"/>
        <w:jc w:val="both"/>
        <w:rPr>
          <w:rFonts w:ascii="Tahoma" w:hAnsi="Tahoma" w:cs="Tahoma"/>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7" w:name="_Toc378863813"/>
      <w:r w:rsidRPr="006853C6">
        <w:rPr>
          <w:rFonts w:ascii="Verdana" w:hAnsi="Verdana"/>
          <w:b/>
          <w:sz w:val="18"/>
          <w:lang w:val="es-BO"/>
        </w:rPr>
        <w:t>Evaluación de la Propuesta Técnica</w:t>
      </w:r>
      <w:bookmarkEnd w:id="27"/>
      <w:r w:rsidRPr="006853C6">
        <w:rPr>
          <w:rFonts w:ascii="Verdana" w:hAnsi="Verdana"/>
          <w:b/>
          <w:sz w:val="18"/>
          <w:lang w:val="es-BO"/>
        </w:rPr>
        <w:t xml:space="preserve"> </w:t>
      </w:r>
    </w:p>
    <w:p w:rsidR="001237DA" w:rsidRPr="006853C6" w:rsidRDefault="002B5DA1" w:rsidP="001237DA">
      <w:pPr>
        <w:tabs>
          <w:tab w:val="left" w:pos="567"/>
        </w:tabs>
        <w:ind w:left="42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 xml:space="preserve">La propuesta técnica contenida en </w:t>
      </w:r>
      <w:r w:rsidR="001814F9" w:rsidRPr="006853C6">
        <w:rPr>
          <w:rFonts w:ascii="Verdana" w:hAnsi="Verdana"/>
          <w:sz w:val="18"/>
          <w:lang w:val="es-BO"/>
        </w:rPr>
        <w:t>los</w:t>
      </w:r>
      <w:r w:rsidRPr="006853C6">
        <w:rPr>
          <w:rFonts w:ascii="Verdana" w:hAnsi="Verdana"/>
          <w:sz w:val="18"/>
          <w:lang w:val="es-BO"/>
        </w:rPr>
        <w:t xml:space="preserve"> Formulario</w:t>
      </w:r>
      <w:r w:rsidR="001814F9" w:rsidRPr="006853C6">
        <w:rPr>
          <w:rFonts w:ascii="Verdana" w:hAnsi="Verdana"/>
          <w:sz w:val="18"/>
          <w:lang w:val="es-BO"/>
        </w:rPr>
        <w:t>s C-1,</w:t>
      </w:r>
      <w:r w:rsidR="00C67453" w:rsidRPr="006853C6">
        <w:rPr>
          <w:rFonts w:ascii="Verdana" w:hAnsi="Verdana"/>
          <w:sz w:val="18"/>
          <w:lang w:val="es-BO"/>
        </w:rPr>
        <w:t xml:space="preserve"> A-3, A-4 y</w:t>
      </w:r>
      <w:r w:rsidR="001814F9" w:rsidRPr="006853C6">
        <w:rPr>
          <w:rFonts w:ascii="Verdana" w:hAnsi="Verdana"/>
          <w:sz w:val="18"/>
          <w:lang w:val="es-BO"/>
        </w:rPr>
        <w:t xml:space="preserve"> A-5 </w:t>
      </w:r>
      <w:r w:rsidRPr="006853C6">
        <w:rPr>
          <w:rFonts w:ascii="Verdana" w:hAnsi="Verdana"/>
          <w:sz w:val="18"/>
          <w:lang w:val="es-BO"/>
        </w:rPr>
        <w:t>será evaluada aplicando la metodología CUMPLE/NO CUMPLE, utilizando el Formulario V-</w:t>
      </w:r>
      <w:r w:rsidR="008A22C3" w:rsidRPr="006853C6">
        <w:rPr>
          <w:rFonts w:ascii="Verdana" w:hAnsi="Verdana"/>
          <w:sz w:val="18"/>
          <w:lang w:val="es-BO"/>
        </w:rPr>
        <w:t>3</w:t>
      </w:r>
      <w:r w:rsidRPr="006853C6">
        <w:rPr>
          <w:rFonts w:ascii="Verdana" w:hAnsi="Verdana"/>
          <w:sz w:val="18"/>
          <w:lang w:val="es-BO"/>
        </w:rPr>
        <w:t>.</w:t>
      </w:r>
    </w:p>
    <w:p w:rsidR="002B5DA1" w:rsidRPr="006853C6" w:rsidRDefault="002B5DA1" w:rsidP="002B5DA1">
      <w:pPr>
        <w:pStyle w:val="Prrafodelista"/>
        <w:ind w:left="1276"/>
        <w:jc w:val="both"/>
        <w:rPr>
          <w:rFonts w:ascii="Verdana" w:hAnsi="Verdana"/>
          <w:sz w:val="18"/>
          <w:lang w:val="es-BO"/>
        </w:rPr>
      </w:pP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6853C6">
        <w:rPr>
          <w:rFonts w:ascii="Verdana" w:hAnsi="Verdana"/>
          <w:sz w:val="18"/>
          <w:lang w:val="es-BO"/>
        </w:rPr>
        <w:t>3</w:t>
      </w:r>
      <w:r w:rsidRPr="006853C6">
        <w:rPr>
          <w:rFonts w:ascii="Verdana" w:hAnsi="Verdana"/>
          <w:sz w:val="18"/>
          <w:lang w:val="es-BO"/>
        </w:rPr>
        <w:t>.</w:t>
      </w:r>
    </w:p>
    <w:p w:rsidR="001237DA" w:rsidRPr="006853C6" w:rsidRDefault="001237DA" w:rsidP="002B5DA1">
      <w:pPr>
        <w:pStyle w:val="Prrafodelista"/>
        <w:ind w:left="1276"/>
        <w:jc w:val="both"/>
        <w:rPr>
          <w:rFonts w:ascii="Verdana" w:hAnsi="Verdana"/>
          <w:sz w:val="18"/>
          <w:lang w:val="es-BO"/>
        </w:rPr>
      </w:pPr>
    </w:p>
    <w:p w:rsidR="008A22C3" w:rsidRPr="006853C6" w:rsidRDefault="008A22C3" w:rsidP="002B5DA1">
      <w:pPr>
        <w:pStyle w:val="Prrafodelista"/>
        <w:ind w:left="1276"/>
        <w:jc w:val="both"/>
        <w:rPr>
          <w:rFonts w:ascii="Verdana" w:hAnsi="Verdana"/>
          <w:sz w:val="18"/>
          <w:lang w:val="es-BO"/>
        </w:rPr>
      </w:pPr>
      <w:r w:rsidRPr="006853C6">
        <w:rPr>
          <w:rFonts w:ascii="Verdana" w:hAnsi="Verdana"/>
          <w:sz w:val="18"/>
          <w:lang w:val="es-BO"/>
        </w:rPr>
        <w:t xml:space="preserve">El puntaje de la Evaluación de la Propuesta Técnica (PTi), será el resultado de la suma de los puntajes obtenidos de la evaluación de los Formularios </w:t>
      </w:r>
      <w:r w:rsidR="001814F9" w:rsidRPr="006853C6">
        <w:rPr>
          <w:rFonts w:ascii="Verdana" w:hAnsi="Verdana"/>
          <w:sz w:val="18"/>
          <w:lang w:val="es-BO"/>
        </w:rPr>
        <w:t>C-1,</w:t>
      </w:r>
      <w:r w:rsidR="00C67453" w:rsidRPr="006853C6">
        <w:rPr>
          <w:rFonts w:ascii="Verdana" w:hAnsi="Verdana"/>
          <w:sz w:val="18"/>
          <w:lang w:val="es-BO"/>
        </w:rPr>
        <w:t xml:space="preserve"> A-3, A-4, A-5 </w:t>
      </w:r>
      <w:r w:rsidR="00AE0100" w:rsidRPr="006853C6">
        <w:rPr>
          <w:rFonts w:ascii="Verdana" w:hAnsi="Verdana"/>
          <w:sz w:val="18"/>
          <w:lang w:val="es-BO"/>
        </w:rPr>
        <w:t xml:space="preserve">y </w:t>
      </w:r>
      <w:r w:rsidRPr="006853C6">
        <w:rPr>
          <w:rFonts w:ascii="Verdana" w:hAnsi="Verdana"/>
          <w:sz w:val="18"/>
          <w:lang w:val="es-BO"/>
        </w:rPr>
        <w:t>C-2, utilizando el Formulario V-3.</w:t>
      </w:r>
    </w:p>
    <w:p w:rsidR="008A22C3" w:rsidRPr="006853C6" w:rsidRDefault="008A22C3" w:rsidP="002B5DA1">
      <w:pPr>
        <w:pStyle w:val="Prrafodelista"/>
        <w:ind w:left="1276"/>
        <w:jc w:val="both"/>
        <w:rPr>
          <w:rFonts w:ascii="Verdana" w:hAnsi="Verdana"/>
          <w:sz w:val="18"/>
          <w:lang w:val="es-BO"/>
        </w:rPr>
      </w:pPr>
    </w:p>
    <w:p w:rsidR="00833A38"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Las propuestas que en la Evaluación de la Propuesta Técnica (PT</w:t>
      </w:r>
      <w:r w:rsidR="008A22C3" w:rsidRPr="006853C6">
        <w:rPr>
          <w:rFonts w:ascii="Verdana" w:hAnsi="Verdana"/>
          <w:sz w:val="18"/>
          <w:lang w:val="es-BO"/>
        </w:rPr>
        <w:t>i</w:t>
      </w:r>
      <w:r w:rsidRPr="006853C6">
        <w:rPr>
          <w:rFonts w:ascii="Verdana" w:hAnsi="Verdana"/>
          <w:sz w:val="18"/>
          <w:lang w:val="es-BO"/>
        </w:rPr>
        <w:t xml:space="preserve">) no alcancen el puntaje mínimo de </w:t>
      </w:r>
      <w:r w:rsidR="00833A38" w:rsidRPr="006853C6">
        <w:rPr>
          <w:rFonts w:ascii="Verdana" w:hAnsi="Verdana"/>
          <w:sz w:val="18"/>
          <w:lang w:val="es-BO"/>
        </w:rPr>
        <w:t>cincuenta (5</w:t>
      </w:r>
      <w:r w:rsidRPr="006853C6">
        <w:rPr>
          <w:rFonts w:ascii="Verdana" w:hAnsi="Verdana"/>
          <w:sz w:val="18"/>
          <w:lang w:val="es-BO"/>
        </w:rPr>
        <w:t>0) puntos serán descalificadas</w:t>
      </w:r>
      <w:r w:rsidR="00833A38" w:rsidRPr="006853C6">
        <w:rPr>
          <w:rFonts w:ascii="Verdana" w:hAnsi="Verdana"/>
          <w:sz w:val="18"/>
          <w:lang w:val="es-BO"/>
        </w:rPr>
        <w:t>.</w:t>
      </w:r>
    </w:p>
    <w:p w:rsidR="00833A38" w:rsidRPr="006853C6" w:rsidRDefault="00833A38" w:rsidP="002B5DA1">
      <w:pPr>
        <w:pStyle w:val="Prrafodelista"/>
        <w:ind w:left="1276"/>
        <w:jc w:val="both"/>
        <w:rPr>
          <w:rFonts w:ascii="Verdana" w:hAnsi="Verdana"/>
          <w:sz w:val="18"/>
          <w:lang w:val="es-BO"/>
        </w:rPr>
      </w:pPr>
    </w:p>
    <w:p w:rsidR="001237DA" w:rsidRPr="006853C6" w:rsidRDefault="003614F3" w:rsidP="002B5DA1">
      <w:pPr>
        <w:pStyle w:val="Prrafodelista"/>
        <w:ind w:left="1276"/>
        <w:jc w:val="both"/>
        <w:rPr>
          <w:rFonts w:ascii="Verdana" w:hAnsi="Verdana"/>
          <w:sz w:val="18"/>
          <w:lang w:val="es-BO"/>
        </w:rPr>
      </w:pPr>
      <w:r w:rsidRPr="006853C6">
        <w:rPr>
          <w:rFonts w:ascii="Verdana" w:hAnsi="Verdana"/>
          <w:sz w:val="18"/>
          <w:lang w:val="es-BO"/>
        </w:rPr>
        <w:t>De las propuestas que no fueron descalificadas, e</w:t>
      </w:r>
      <w:r w:rsidR="00833A38" w:rsidRPr="006853C6">
        <w:rPr>
          <w:rFonts w:ascii="Verdana" w:hAnsi="Verdana"/>
          <w:sz w:val="18"/>
          <w:lang w:val="es-BO"/>
        </w:rPr>
        <w:t>l Responsable de Evaluación o la Comisión de Calificación, recomendar</w:t>
      </w:r>
      <w:r w:rsidRPr="006853C6">
        <w:rPr>
          <w:rFonts w:ascii="Verdana" w:hAnsi="Verdana"/>
          <w:sz w:val="18"/>
          <w:lang w:val="es-BO"/>
        </w:rPr>
        <w:t>á</w:t>
      </w:r>
      <w:r w:rsidR="00833A38" w:rsidRPr="006853C6">
        <w:rPr>
          <w:rFonts w:ascii="Verdana" w:hAnsi="Verdana"/>
          <w:sz w:val="18"/>
          <w:lang w:val="es-BO"/>
        </w:rPr>
        <w:t xml:space="preserve"> la adjudicación de </w:t>
      </w:r>
      <w:r w:rsidR="001237DA" w:rsidRPr="006853C6">
        <w:rPr>
          <w:rFonts w:ascii="Verdana" w:hAnsi="Verdana"/>
          <w:sz w:val="18"/>
          <w:lang w:val="es-BO"/>
        </w:rPr>
        <w:t>la propuesta que tenga el menor costo</w:t>
      </w:r>
      <w:r w:rsidR="001D4CEB" w:rsidRPr="006853C6">
        <w:rPr>
          <w:rFonts w:ascii="Verdana" w:hAnsi="Verdana"/>
          <w:sz w:val="18"/>
          <w:lang w:val="es-BO"/>
        </w:rPr>
        <w:t>.</w:t>
      </w:r>
    </w:p>
    <w:p w:rsidR="00BF2C1D" w:rsidRPr="006853C6" w:rsidRDefault="00BF2C1D" w:rsidP="001237DA">
      <w:pPr>
        <w:ind w:left="540" w:right="-4"/>
        <w:jc w:val="both"/>
        <w:rPr>
          <w:rFonts w:cs="Arial"/>
          <w:sz w:val="18"/>
          <w:szCs w:val="18"/>
          <w:lang w:val="es-BO"/>
        </w:rPr>
      </w:pPr>
    </w:p>
    <w:p w:rsidR="00BF2C1D" w:rsidRPr="006853C6" w:rsidRDefault="00BF2C1D" w:rsidP="002B5DA1">
      <w:pPr>
        <w:pStyle w:val="Prrafodelista"/>
        <w:ind w:left="1276"/>
        <w:jc w:val="both"/>
        <w:rPr>
          <w:rFonts w:ascii="Verdana" w:hAnsi="Verdana"/>
          <w:sz w:val="18"/>
          <w:lang w:val="es-BO"/>
        </w:rPr>
      </w:pPr>
      <w:r w:rsidRPr="006853C6">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33FCB" w:rsidRPr="006853C6" w:rsidRDefault="00233FCB" w:rsidP="006F563C">
      <w:pPr>
        <w:tabs>
          <w:tab w:val="left" w:pos="567"/>
        </w:tabs>
        <w:ind w:left="708"/>
        <w:jc w:val="both"/>
        <w:rPr>
          <w:rFonts w:cs="Arial"/>
          <w:sz w:val="18"/>
          <w:szCs w:val="18"/>
          <w:lang w:val="es-BO" w:eastAsia="en-US"/>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8" w:name="_Toc517891402"/>
      <w:r w:rsidRPr="006853C6">
        <w:rPr>
          <w:rFonts w:ascii="Verdana" w:hAnsi="Verdana"/>
          <w:sz w:val="18"/>
          <w:szCs w:val="18"/>
          <w:lang w:val="es-BO"/>
        </w:rPr>
        <w:t>CONTENIDO DEL INFORME DE EVALUACIÓN Y RECOMENDACIÓN</w:t>
      </w:r>
      <w:bookmarkEnd w:id="28"/>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Default="009B0729"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Pr="006853C6" w:rsidRDefault="00003098" w:rsidP="009B0729">
      <w:pPr>
        <w:ind w:left="709"/>
        <w:rPr>
          <w:rFonts w:cs="Arial"/>
          <w:sz w:val="18"/>
          <w:szCs w:val="18"/>
          <w:lang w:val="es-BO"/>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9" w:name="_Toc517891403"/>
      <w:r w:rsidRPr="006853C6">
        <w:rPr>
          <w:rFonts w:ascii="Verdana" w:hAnsi="Verdana"/>
          <w:sz w:val="18"/>
          <w:szCs w:val="18"/>
          <w:lang w:val="es-BO"/>
        </w:rPr>
        <w:lastRenderedPageBreak/>
        <w:t>ADJUDICACIÓN O DECLARATORIA DESIERTA</w:t>
      </w:r>
      <w:bookmarkEnd w:id="29"/>
    </w:p>
    <w:p w:rsidR="00646D94" w:rsidRPr="006853C6" w:rsidRDefault="00646D94" w:rsidP="00646D94">
      <w:pPr>
        <w:ind w:left="1416"/>
        <w:jc w:val="both"/>
        <w:rPr>
          <w:rFonts w:cs="Arial"/>
          <w:sz w:val="18"/>
          <w:szCs w:val="18"/>
          <w:lang w:val="es-BO"/>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631F17">
      <w:pPr>
        <w:pStyle w:val="Prrafodelista"/>
        <w:numPr>
          <w:ilvl w:val="1"/>
          <w:numId w:val="28"/>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631F17">
      <w:pPr>
        <w:pStyle w:val="Ttulo"/>
        <w:numPr>
          <w:ilvl w:val="0"/>
          <w:numId w:val="28"/>
        </w:numPr>
        <w:spacing w:before="0" w:after="0"/>
        <w:jc w:val="both"/>
        <w:rPr>
          <w:rFonts w:ascii="Verdana" w:hAnsi="Verdana"/>
          <w:sz w:val="18"/>
          <w:szCs w:val="18"/>
          <w:lang w:val="es-BO"/>
        </w:rPr>
      </w:pPr>
      <w:bookmarkStart w:id="30" w:name="_Toc517891404"/>
      <w:r w:rsidRPr="006853C6">
        <w:rPr>
          <w:rFonts w:ascii="Verdana" w:hAnsi="Verdana"/>
          <w:sz w:val="18"/>
          <w:szCs w:val="18"/>
          <w:lang w:val="es-BO"/>
        </w:rPr>
        <w:t>SUSCRIPCIÓN DE CONTRATO</w:t>
      </w:r>
      <w:bookmarkEnd w:id="30"/>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631F17">
      <w:pPr>
        <w:pStyle w:val="Ttulo"/>
        <w:numPr>
          <w:ilvl w:val="0"/>
          <w:numId w:val="28"/>
        </w:numPr>
        <w:spacing w:before="0" w:after="0"/>
        <w:jc w:val="both"/>
        <w:rPr>
          <w:rFonts w:ascii="Verdana" w:hAnsi="Verdana"/>
          <w:sz w:val="18"/>
          <w:szCs w:val="18"/>
          <w:lang w:val="es-BO"/>
        </w:rPr>
      </w:pPr>
      <w:bookmarkStart w:id="31" w:name="_Toc517891405"/>
      <w:r w:rsidRPr="006853C6">
        <w:rPr>
          <w:rFonts w:ascii="Verdana" w:hAnsi="Verdana"/>
          <w:sz w:val="18"/>
          <w:szCs w:val="18"/>
          <w:lang w:val="es-BO"/>
        </w:rPr>
        <w:t>MODIFICACIONES AL CONTRATO</w:t>
      </w:r>
      <w:bookmarkEnd w:id="31"/>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DE4C2E" w:rsidRPr="006853C6" w:rsidRDefault="00DE4C2E" w:rsidP="00FD0749">
      <w:pPr>
        <w:ind w:left="426"/>
        <w:jc w:val="both"/>
        <w:rPr>
          <w:sz w:val="18"/>
          <w:szCs w:val="18"/>
          <w:lang w:val="es-BO" w:eastAsia="es-BO"/>
        </w:rPr>
      </w:pPr>
    </w:p>
    <w:p w:rsidR="00C712C0" w:rsidRPr="006853C6" w:rsidRDefault="00C712C0" w:rsidP="00667239">
      <w:pPr>
        <w:jc w:val="both"/>
        <w:rPr>
          <w:sz w:val="18"/>
          <w:szCs w:val="18"/>
          <w:lang w:val="es-BO" w:eastAsia="es-BO"/>
        </w:rPr>
      </w:pPr>
    </w:p>
    <w:p w:rsidR="00667239" w:rsidRPr="006853C6" w:rsidRDefault="00667239" w:rsidP="00631F17">
      <w:pPr>
        <w:pStyle w:val="Ttulo"/>
        <w:numPr>
          <w:ilvl w:val="0"/>
          <w:numId w:val="28"/>
        </w:numPr>
        <w:spacing w:before="0" w:after="0"/>
        <w:jc w:val="both"/>
        <w:rPr>
          <w:rFonts w:ascii="Verdana" w:hAnsi="Verdana"/>
          <w:sz w:val="18"/>
          <w:szCs w:val="18"/>
          <w:lang w:val="es-BO"/>
        </w:rPr>
      </w:pPr>
      <w:bookmarkStart w:id="32" w:name="_Toc517891406"/>
      <w:r w:rsidRPr="006853C6">
        <w:rPr>
          <w:rFonts w:ascii="Verdana" w:hAnsi="Verdana"/>
          <w:sz w:val="18"/>
          <w:szCs w:val="18"/>
          <w:lang w:val="es-BO"/>
        </w:rPr>
        <w:t>SUBCONTRATACIÓN</w:t>
      </w:r>
      <w:bookmarkEnd w:id="32"/>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631F17">
      <w:pPr>
        <w:pStyle w:val="Ttulo"/>
        <w:numPr>
          <w:ilvl w:val="0"/>
          <w:numId w:val="28"/>
        </w:numPr>
        <w:spacing w:before="0" w:after="0"/>
        <w:jc w:val="both"/>
        <w:rPr>
          <w:rFonts w:ascii="Verdana" w:hAnsi="Verdana"/>
          <w:sz w:val="18"/>
          <w:szCs w:val="18"/>
          <w:lang w:val="es-BO"/>
        </w:rPr>
      </w:pPr>
      <w:bookmarkStart w:id="33" w:name="_Toc517891407"/>
      <w:r w:rsidRPr="006853C6">
        <w:rPr>
          <w:rFonts w:ascii="Verdana" w:hAnsi="Verdana"/>
          <w:sz w:val="18"/>
          <w:szCs w:val="18"/>
          <w:lang w:val="es-BO"/>
        </w:rPr>
        <w:t>PRESTACIÓN DEL SERVICIO</w:t>
      </w:r>
      <w:bookmarkEnd w:id="33"/>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631F17">
      <w:pPr>
        <w:pStyle w:val="Ttulo"/>
        <w:numPr>
          <w:ilvl w:val="0"/>
          <w:numId w:val="28"/>
        </w:numPr>
        <w:spacing w:before="0" w:after="0"/>
        <w:jc w:val="both"/>
        <w:rPr>
          <w:rFonts w:ascii="Verdana" w:hAnsi="Verdana"/>
          <w:sz w:val="18"/>
          <w:szCs w:val="18"/>
          <w:lang w:val="es-BO"/>
        </w:rPr>
      </w:pPr>
      <w:bookmarkStart w:id="34" w:name="_Toc517891408"/>
      <w:r w:rsidRPr="006853C6">
        <w:rPr>
          <w:rFonts w:ascii="Verdana" w:hAnsi="Verdana"/>
          <w:sz w:val="18"/>
          <w:szCs w:val="18"/>
          <w:lang w:val="es-BO"/>
        </w:rPr>
        <w:t>CIERRE DEL CONTRATO Y PAGO</w:t>
      </w:r>
      <w:bookmarkEnd w:id="34"/>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Pr="00DE4C2E" w:rsidRDefault="00DE4C2E" w:rsidP="00DE4C2E">
      <w:pPr>
        <w:jc w:val="both"/>
        <w:rPr>
          <w:sz w:val="18"/>
          <w:lang w:val="es-BO"/>
        </w:rPr>
      </w:pPr>
    </w:p>
    <w:p w:rsidR="00115234" w:rsidRPr="006853C6" w:rsidRDefault="00115234" w:rsidP="00115234">
      <w:pPr>
        <w:pStyle w:val="Prrafodelista"/>
        <w:rPr>
          <w:sz w:val="18"/>
          <w:lang w:val="es-BO"/>
        </w:rPr>
      </w:pPr>
    </w:p>
    <w:p w:rsidR="00115234" w:rsidRPr="006853C6" w:rsidRDefault="00115234" w:rsidP="00115234">
      <w:pPr>
        <w:ind w:left="576"/>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lastRenderedPageBreak/>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Pr="006853C6" w:rsidRDefault="00DE4C2E"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631F17">
      <w:pPr>
        <w:pStyle w:val="Ttulo"/>
        <w:numPr>
          <w:ilvl w:val="0"/>
          <w:numId w:val="28"/>
        </w:numPr>
        <w:spacing w:before="0" w:after="0"/>
        <w:jc w:val="both"/>
        <w:rPr>
          <w:rFonts w:ascii="Verdana" w:hAnsi="Verdana"/>
          <w:sz w:val="18"/>
          <w:szCs w:val="18"/>
          <w:lang w:val="es-BO"/>
        </w:rPr>
      </w:pPr>
      <w:bookmarkStart w:id="35" w:name="_Toc346873832"/>
      <w:bookmarkStart w:id="36" w:name="_Toc356237219"/>
      <w:bookmarkStart w:id="37" w:name="_Toc517891409"/>
      <w:r w:rsidRPr="006853C6">
        <w:rPr>
          <w:rFonts w:ascii="Verdana" w:hAnsi="Verdana"/>
          <w:sz w:val="18"/>
          <w:szCs w:val="18"/>
          <w:lang w:val="es-BO"/>
        </w:rPr>
        <w:t>CONVOCATORIA Y DATOS GENERALES DE LA CONTRATACIÓN</w:t>
      </w:r>
      <w:bookmarkEnd w:id="35"/>
      <w:bookmarkEnd w:id="36"/>
      <w:bookmarkEnd w:id="37"/>
    </w:p>
    <w:p w:rsidR="00092F5B" w:rsidRPr="006853C6"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30174" w:rsidRPr="006853C6"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C97101">
        <w:trPr>
          <w:trHeight w:val="397"/>
          <w:jc w:val="center"/>
        </w:trPr>
        <w:tc>
          <w:tcPr>
            <w:tcW w:w="236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EMPRESA MISICUNI</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277" w:type="dxa"/>
            <w:tcBorders>
              <w:left w:val="single" w:sz="4" w:space="0" w:color="auto"/>
            </w:tcBorders>
          </w:tcPr>
          <w:p w:rsidR="00430174" w:rsidRPr="006853C6" w:rsidRDefault="00430174" w:rsidP="00C97101">
            <w:pPr>
              <w:jc w:val="right"/>
              <w:rPr>
                <w:rFonts w:ascii="Arial" w:hAnsi="Arial" w:cs="Arial"/>
                <w:lang w:val="es-BO"/>
              </w:rPr>
            </w:pPr>
          </w:p>
        </w:tc>
        <w:tc>
          <w:tcPr>
            <w:tcW w:w="2738" w:type="dxa"/>
            <w:gridSpan w:val="10"/>
            <w:vMerge w:val="restart"/>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D933F5" w:rsidP="00C97101">
            <w:pPr>
              <w:rPr>
                <w:rFonts w:ascii="Arial" w:hAnsi="Arial" w:cs="Arial"/>
                <w:lang w:val="es-BO"/>
              </w:rPr>
            </w:pPr>
            <w:r>
              <w:rPr>
                <w:rFonts w:ascii="Arial" w:hAnsi="Arial" w:cs="Arial"/>
                <w:lang w:val="es-BO"/>
              </w:rPr>
              <w:t>EM. RPA.ANPE 005</w:t>
            </w:r>
            <w:r w:rsidR="00003098">
              <w:rPr>
                <w:rFonts w:ascii="Arial" w:hAnsi="Arial" w:cs="Arial"/>
                <w:lang w:val="es-BO"/>
              </w:rPr>
              <w:t>/2019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277" w:type="dxa"/>
            <w:tcBorders>
              <w:left w:val="single" w:sz="4" w:space="0" w:color="auto"/>
            </w:tcBorders>
            <w:shd w:val="clear" w:color="auto" w:fill="auto"/>
          </w:tcPr>
          <w:p w:rsidR="00430174" w:rsidRPr="006853C6"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003098" w:rsidRPr="006853C6" w:rsidTr="00C97101">
        <w:trPr>
          <w:jc w:val="center"/>
        </w:trPr>
        <w:tc>
          <w:tcPr>
            <w:tcW w:w="2373"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eastAsia="Times New Roman" w:hAnsi="Arial" w:cs="Arial"/>
                <w:lang w:val="es-BO"/>
              </w:rPr>
            </w:pPr>
            <w:r w:rsidRPr="006853C6">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6</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3</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3</w:t>
            </w:r>
          </w:p>
        </w:tc>
        <w:tc>
          <w:tcPr>
            <w:tcW w:w="277"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550FF5"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550FF5" w:rsidP="00C97101">
            <w:pPr>
              <w:rPr>
                <w:rFonts w:ascii="Arial" w:hAnsi="Arial" w:cs="Arial"/>
                <w:lang w:val="es-BO"/>
              </w:rPr>
            </w:pPr>
            <w:r>
              <w:rPr>
                <w:rFonts w:ascii="Arial" w:hAnsi="Arial" w:cs="Arial"/>
                <w:lang w:val="es-BO"/>
              </w:rPr>
              <w:t>2</w:t>
            </w:r>
            <w:bookmarkStart w:id="38" w:name="_GoBack"/>
            <w:bookmarkEnd w:id="38"/>
          </w:p>
        </w:tc>
        <w:tc>
          <w:tcPr>
            <w:tcW w:w="273" w:type="dxa"/>
            <w:tcBorders>
              <w:left w:val="single" w:sz="4" w:space="0" w:color="auto"/>
            </w:tcBorders>
          </w:tcPr>
          <w:p w:rsidR="00430174" w:rsidRPr="006853C6" w:rsidRDefault="00430174" w:rsidP="00C97101">
            <w:pPr>
              <w:rPr>
                <w:rFonts w:ascii="Arial" w:hAnsi="Arial" w:cs="Arial"/>
                <w:lang w:val="es-BO"/>
              </w:rPr>
            </w:pPr>
          </w:p>
        </w:tc>
        <w:tc>
          <w:tcPr>
            <w:tcW w:w="819" w:type="dxa"/>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83"/>
        <w:gridCol w:w="281"/>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315A3E">
        <w:trPr>
          <w:trHeight w:val="435"/>
          <w:jc w:val="center"/>
        </w:trPr>
        <w:tc>
          <w:tcPr>
            <w:tcW w:w="234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7728"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tabs>
                <w:tab w:val="left" w:pos="1634"/>
              </w:tabs>
              <w:rPr>
                <w:rFonts w:ascii="Arial" w:hAnsi="Arial" w:cs="Arial"/>
                <w:lang w:val="es-BO"/>
              </w:rPr>
            </w:pPr>
            <w:r>
              <w:rPr>
                <w:rFonts w:ascii="Arial" w:hAnsi="Arial" w:cs="Arial"/>
                <w:lang w:val="es-BO"/>
              </w:rPr>
              <w:t>“CONTRAT</w:t>
            </w:r>
            <w:r w:rsidR="001B76BD">
              <w:rPr>
                <w:rFonts w:ascii="Arial" w:hAnsi="Arial" w:cs="Arial"/>
                <w:lang w:val="es-BO"/>
              </w:rPr>
              <w:t>A</w:t>
            </w:r>
            <w:r>
              <w:rPr>
                <w:rFonts w:ascii="Arial" w:hAnsi="Arial" w:cs="Arial"/>
                <w:lang w:val="es-BO"/>
              </w:rPr>
              <w:t>CION DE UNA EMPRESA CONSULTORA PARA EL TEMA DE ASESORAMIENTO EN SEGUROS GESTION 2019”</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6"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728" w:type="dxa"/>
            <w:gridSpan w:val="10"/>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315A3E">
        <w:trPr>
          <w:jc w:val="center"/>
        </w:trPr>
        <w:tc>
          <w:tcPr>
            <w:tcW w:w="2346" w:type="dxa"/>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71"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5" w:type="dxa"/>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323" w:type="dxa"/>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6"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5"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315A3E">
        <w:trPr>
          <w:jc w:val="center"/>
        </w:trPr>
        <w:tc>
          <w:tcPr>
            <w:tcW w:w="2346" w:type="dxa"/>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280" w:type="dxa"/>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21" w:type="dxa"/>
            <w:gridSpan w:val="5"/>
            <w:shd w:val="clear" w:color="auto" w:fill="auto"/>
          </w:tcPr>
          <w:p w:rsidR="00FE0EED" w:rsidRPr="006853C6" w:rsidRDefault="00FE0EED" w:rsidP="00C97101">
            <w:pPr>
              <w:rPr>
                <w:rFonts w:ascii="Arial" w:hAnsi="Arial" w:cs="Arial"/>
                <w:lang w:val="es-BO"/>
              </w:rPr>
            </w:pPr>
          </w:p>
        </w:tc>
        <w:tc>
          <w:tcPr>
            <w:tcW w:w="272" w:type="dxa"/>
            <w:shd w:val="clear" w:color="auto" w:fill="auto"/>
          </w:tcPr>
          <w:p w:rsidR="00FE0EED" w:rsidRPr="006853C6" w:rsidRDefault="00FE0EED" w:rsidP="00C97101">
            <w:pPr>
              <w:rPr>
                <w:rFonts w:ascii="Arial" w:hAnsi="Arial" w:cs="Arial"/>
                <w:lang w:val="es-BO"/>
              </w:rPr>
            </w:pPr>
          </w:p>
        </w:tc>
        <w:tc>
          <w:tcPr>
            <w:tcW w:w="1637" w:type="dxa"/>
            <w:gridSpan w:val="6"/>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left w:val="nil"/>
            </w:tcBorders>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315A3E">
            <w:pPr>
              <w:jc w:val="both"/>
              <w:rPr>
                <w:rFonts w:ascii="Arial" w:hAnsi="Arial" w:cs="Arial"/>
                <w:b/>
                <w:lang w:val="es-BO"/>
              </w:rPr>
            </w:pPr>
            <w:r>
              <w:rPr>
                <w:rFonts w:ascii="Arial" w:hAnsi="Arial" w:cs="Arial"/>
                <w:b/>
                <w:i/>
                <w:lang w:val="es-BO"/>
              </w:rPr>
              <w:t>81.000.- ( OCHENTA Y UN MIL 00/100)</w:t>
            </w:r>
            <w:r w:rsidR="00AE53DA">
              <w:rPr>
                <w:rFonts w:ascii="Arial" w:hAnsi="Arial" w:cs="Arial"/>
                <w:b/>
                <w:i/>
                <w:lang w:val="es-BO"/>
              </w:rPr>
              <w:t xml:space="preserve"> EL MONTO MENSUAL QUE SE RA PAGADO ES DE Bs.9000.-</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315A3E">
        <w:trPr>
          <w:trHeight w:val="240"/>
          <w:jc w:val="center"/>
        </w:trPr>
        <w:tc>
          <w:tcPr>
            <w:tcW w:w="2346" w:type="dxa"/>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429" w:type="dxa"/>
            <w:gridSpan w:val="16"/>
            <w:tcBorders>
              <w:left w:val="single" w:sz="4" w:space="0" w:color="auto"/>
            </w:tcBorders>
            <w:vAlign w:val="center"/>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jc w:val="both"/>
              <w:rPr>
                <w:rFonts w:ascii="Arial" w:hAnsi="Arial" w:cs="Arial"/>
                <w:b/>
                <w:i/>
                <w:lang w:val="es-BO"/>
              </w:rPr>
            </w:pPr>
            <w:r>
              <w:rPr>
                <w:rFonts w:ascii="Arial" w:hAnsi="Arial" w:cs="Arial"/>
                <w:b/>
                <w:i/>
                <w:lang w:val="es-BO"/>
              </w:rPr>
              <w:t>DESDE LA FIRMA DEL CONTRATO HASTA EL 31 DE DICIEMBRE DE 2019</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jc w:val="both"/>
              <w:rPr>
                <w:rFonts w:ascii="Arial" w:hAnsi="Arial" w:cs="Arial"/>
                <w:b/>
                <w:i/>
                <w:lang w:val="es-BO"/>
              </w:rPr>
            </w:pPr>
            <w:r>
              <w:rPr>
                <w:rFonts w:ascii="Arial" w:hAnsi="Arial" w:cs="Arial"/>
                <w:b/>
                <w:i/>
                <w:lang w:val="es-BO"/>
              </w:rPr>
              <w:t xml:space="preserve">EN OFICINAS DE LA EMPRESA MISICUNI CALLE INNOMINADA S/N ZONA LINDE CANRRANCHO </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Garantía de Seriedad de  Propuesta</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que no se requiera)</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E5D9B" w:rsidP="00C97101">
            <w:pPr>
              <w:jc w:val="both"/>
              <w:rPr>
                <w:rFonts w:ascii="Arial" w:hAnsi="Arial" w:cs="Arial"/>
                <w:b/>
                <w:i/>
                <w:lang w:val="es-BO"/>
              </w:rPr>
            </w:pPr>
            <w:r w:rsidRPr="006853C6">
              <w:rPr>
                <w:rFonts w:ascii="Arial" w:hAnsi="Arial" w:cs="Arial"/>
                <w:b/>
                <w:i/>
                <w:lang w:val="es-BO"/>
              </w:rPr>
              <w:t>El proponente deberá presentar una Garantía equivalente al 0.5% del Precio Referencial de la contratación o el 0.5% del presupuesto fijo determinado por la entidad.</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30174" w:rsidRPr="006853C6"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eastAsia="Times New Roman" w:hAnsi="Arial" w:cs="Arial"/>
                <w:lang w:val="es-BO"/>
              </w:rPr>
            </w:pPr>
            <w:r w:rsidRPr="006853C6">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73" w:type="dxa"/>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shd w:val="clear" w:color="auto" w:fill="auto"/>
          </w:tcPr>
          <w:p w:rsidR="00430174" w:rsidRPr="006853C6" w:rsidRDefault="00430174" w:rsidP="00C97101">
            <w:pPr>
              <w:rPr>
                <w:rFonts w:ascii="Arial" w:hAnsi="Arial" w:cs="Arial"/>
                <w:sz w:val="8"/>
                <w:szCs w:val="8"/>
                <w:lang w:val="es-BO"/>
              </w:rPr>
            </w:pPr>
          </w:p>
        </w:tc>
        <w:tc>
          <w:tcPr>
            <w:tcW w:w="275" w:type="dxa"/>
            <w:shd w:val="clear" w:color="auto" w:fill="auto"/>
          </w:tcPr>
          <w:p w:rsidR="00430174" w:rsidRPr="006853C6" w:rsidRDefault="00430174" w:rsidP="00C97101">
            <w:pPr>
              <w:rPr>
                <w:rFonts w:ascii="Arial" w:hAnsi="Arial" w:cs="Arial"/>
                <w:sz w:val="8"/>
                <w:szCs w:val="8"/>
                <w:lang w:val="es-BO"/>
              </w:rPr>
            </w:pPr>
          </w:p>
        </w:tc>
        <w:tc>
          <w:tcPr>
            <w:tcW w:w="280" w:type="dxa"/>
            <w:shd w:val="clear" w:color="auto" w:fill="auto"/>
          </w:tcPr>
          <w:p w:rsidR="00430174" w:rsidRPr="006853C6" w:rsidRDefault="00430174" w:rsidP="00C97101">
            <w:pPr>
              <w:rPr>
                <w:rFonts w:ascii="Arial" w:hAnsi="Arial" w:cs="Arial"/>
                <w:sz w:val="8"/>
                <w:szCs w:val="8"/>
                <w:lang w:val="es-BO"/>
              </w:rPr>
            </w:pPr>
          </w:p>
        </w:tc>
        <w:tc>
          <w:tcPr>
            <w:tcW w:w="278" w:type="dxa"/>
            <w:shd w:val="clear" w:color="auto" w:fill="auto"/>
          </w:tcPr>
          <w:p w:rsidR="00430174" w:rsidRPr="006853C6" w:rsidRDefault="00430174" w:rsidP="00C97101">
            <w:pPr>
              <w:rPr>
                <w:rFonts w:ascii="Arial" w:hAnsi="Arial" w:cs="Arial"/>
                <w:sz w:val="8"/>
                <w:szCs w:val="8"/>
                <w:lang w:val="es-BO"/>
              </w:rPr>
            </w:pPr>
          </w:p>
        </w:tc>
        <w:tc>
          <w:tcPr>
            <w:tcW w:w="276" w:type="dxa"/>
            <w:shd w:val="clear" w:color="auto" w:fill="auto"/>
          </w:tcPr>
          <w:p w:rsidR="00430174" w:rsidRPr="006853C6" w:rsidRDefault="00430174" w:rsidP="00C97101">
            <w:pPr>
              <w:rPr>
                <w:rFonts w:ascii="Arial" w:hAnsi="Arial" w:cs="Arial"/>
                <w:sz w:val="8"/>
                <w:szCs w:val="8"/>
                <w:lang w:val="es-BO"/>
              </w:rPr>
            </w:pPr>
          </w:p>
        </w:tc>
        <w:tc>
          <w:tcPr>
            <w:tcW w:w="281"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left w:val="nil"/>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lang w:val="es-BO"/>
              </w:rPr>
            </w:pPr>
          </w:p>
        </w:tc>
        <w:tc>
          <w:tcPr>
            <w:tcW w:w="7417" w:type="dxa"/>
            <w:gridSpan w:val="27"/>
            <w:vMerge/>
            <w:tcBorders>
              <w:left w:val="nil"/>
            </w:tcBorders>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38" w:type="dxa"/>
            <w:gridSpan w:val="20"/>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4" w:type="dxa"/>
            <w:vMerge w:val="restart"/>
          </w:tcPr>
          <w:p w:rsidR="00430174" w:rsidRPr="006853C6" w:rsidRDefault="00430174" w:rsidP="00C97101">
            <w:pPr>
              <w:jc w:val="center"/>
              <w:rPr>
                <w:rFonts w:ascii="Arial" w:hAnsi="Arial" w:cs="Arial"/>
                <w:lang w:val="es-BO"/>
              </w:rPr>
            </w:pPr>
          </w:p>
        </w:tc>
        <w:tc>
          <w:tcPr>
            <w:tcW w:w="1912" w:type="dxa"/>
            <w:gridSpan w:val="8"/>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trHeight w:val="60"/>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Merge/>
            <w:vAlign w:val="center"/>
          </w:tcPr>
          <w:p w:rsidR="00430174" w:rsidRPr="006853C6" w:rsidRDefault="00430174" w:rsidP="00C97101">
            <w:pPr>
              <w:rPr>
                <w:rFonts w:ascii="Arial" w:hAnsi="Arial" w:cs="Arial"/>
                <w:lang w:val="es-BO"/>
              </w:rPr>
            </w:pPr>
          </w:p>
        </w:tc>
        <w:tc>
          <w:tcPr>
            <w:tcW w:w="5238" w:type="dxa"/>
            <w:gridSpan w:val="20"/>
            <w:vMerge/>
          </w:tcPr>
          <w:p w:rsidR="00430174" w:rsidRPr="006853C6" w:rsidRDefault="00430174" w:rsidP="00C97101">
            <w:pPr>
              <w:jc w:val="center"/>
              <w:rPr>
                <w:rFonts w:ascii="Arial" w:hAnsi="Arial" w:cs="Arial"/>
                <w:lang w:val="es-BO"/>
              </w:rPr>
            </w:pPr>
          </w:p>
        </w:tc>
        <w:tc>
          <w:tcPr>
            <w:tcW w:w="274" w:type="dxa"/>
            <w:vMerge/>
          </w:tcPr>
          <w:p w:rsidR="00430174" w:rsidRPr="006853C6" w:rsidRDefault="00430174" w:rsidP="00C97101">
            <w:pPr>
              <w:jc w:val="center"/>
              <w:rPr>
                <w:rFonts w:ascii="Arial" w:hAnsi="Arial" w:cs="Arial"/>
                <w:lang w:val="es-BO"/>
              </w:rPr>
            </w:pPr>
          </w:p>
        </w:tc>
        <w:tc>
          <w:tcPr>
            <w:tcW w:w="1912" w:type="dxa"/>
            <w:gridSpan w:val="8"/>
            <w:vMerge/>
            <w:tcBorders>
              <w:left w:val="nil"/>
            </w:tcBorders>
          </w:tcPr>
          <w:p w:rsidR="00430174" w:rsidRPr="006853C6" w:rsidRDefault="00430174" w:rsidP="00C97101">
            <w:pPr>
              <w:jc w:val="cente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315A3E">
            <w:pPr>
              <w:jc w:val="center"/>
              <w:rPr>
                <w:rFonts w:ascii="Arial" w:hAnsi="Arial" w:cs="Arial"/>
                <w:lang w:val="es-BO"/>
              </w:rPr>
            </w:pPr>
            <w:r>
              <w:rPr>
                <w:rFonts w:ascii="Arial" w:hAnsi="Arial" w:cs="Arial"/>
                <w:lang w:val="es-BO"/>
              </w:rPr>
              <w:t>100 %</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Align w:val="center"/>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shd w:val="clear" w:color="auto" w:fill="auto"/>
            <w:vAlign w:val="center"/>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jc w:val="center"/>
              <w:rPr>
                <w:rFonts w:ascii="Arial" w:hAnsi="Arial" w:cs="Arial"/>
                <w:lang w:val="es-BO"/>
              </w:rPr>
            </w:pPr>
            <w:r>
              <w:rPr>
                <w:rFonts w:ascii="Arial" w:hAnsi="Arial" w:cs="Arial"/>
                <w:lang w:val="es-BO"/>
              </w:rPr>
              <w:t>CALLE INNOMINADA S/N ZONA LINDE CANARRANCHO</w:t>
            </w:r>
          </w:p>
        </w:tc>
        <w:tc>
          <w:tcPr>
            <w:tcW w:w="1927" w:type="dxa"/>
            <w:gridSpan w:val="8"/>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Default="00315A3E" w:rsidP="00C97101">
            <w:pPr>
              <w:rPr>
                <w:rFonts w:ascii="Arial" w:hAnsi="Arial" w:cs="Arial"/>
                <w:lang w:val="es-BO"/>
              </w:rPr>
            </w:pPr>
            <w:r>
              <w:rPr>
                <w:rFonts w:ascii="Arial" w:hAnsi="Arial" w:cs="Arial"/>
                <w:lang w:val="es-BO"/>
              </w:rPr>
              <w:t>8:30</w:t>
            </w:r>
          </w:p>
          <w:p w:rsidR="00315A3E" w:rsidRPr="006853C6" w:rsidRDefault="00315A3E" w:rsidP="00C97101">
            <w:pPr>
              <w:rPr>
                <w:rFonts w:ascii="Arial" w:hAnsi="Arial" w:cs="Arial"/>
                <w:lang w:val="es-BO"/>
              </w:rPr>
            </w:pPr>
            <w:r>
              <w:rPr>
                <w:rFonts w:ascii="Arial" w:hAnsi="Arial" w:cs="Arial"/>
                <w:lang w:val="es-BO"/>
              </w:rPr>
              <w:t>16:30</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tcPr>
          <w:p w:rsidR="00430174" w:rsidRPr="006853C6" w:rsidRDefault="00430174" w:rsidP="00C97101">
            <w:pPr>
              <w:rPr>
                <w:rFonts w:ascii="Arial" w:hAnsi="Arial" w:cs="Arial"/>
                <w:sz w:val="10"/>
                <w:szCs w:val="8"/>
                <w:lang w:val="es-BO"/>
              </w:rPr>
            </w:pPr>
          </w:p>
        </w:tc>
        <w:tc>
          <w:tcPr>
            <w:tcW w:w="281" w:type="dxa"/>
          </w:tcPr>
          <w:p w:rsidR="00430174" w:rsidRPr="006853C6" w:rsidRDefault="00430174" w:rsidP="00C97101">
            <w:pPr>
              <w:rPr>
                <w:rFonts w:ascii="Arial" w:hAnsi="Arial" w:cs="Arial"/>
                <w:sz w:val="10"/>
                <w:szCs w:val="8"/>
                <w:lang w:val="es-BO"/>
              </w:rPr>
            </w:pPr>
          </w:p>
        </w:tc>
        <w:tc>
          <w:tcPr>
            <w:tcW w:w="282" w:type="dxa"/>
          </w:tcPr>
          <w:p w:rsidR="00430174" w:rsidRPr="006853C6" w:rsidRDefault="00430174" w:rsidP="00C97101">
            <w:pPr>
              <w:rPr>
                <w:rFonts w:ascii="Arial" w:hAnsi="Arial" w:cs="Arial"/>
                <w:sz w:val="10"/>
                <w:szCs w:val="8"/>
                <w:lang w:val="es-BO"/>
              </w:rPr>
            </w:pPr>
          </w:p>
        </w:tc>
        <w:tc>
          <w:tcPr>
            <w:tcW w:w="272" w:type="dxa"/>
          </w:tcPr>
          <w:p w:rsidR="00430174" w:rsidRPr="006853C6" w:rsidRDefault="00430174" w:rsidP="00C97101">
            <w:pPr>
              <w:rPr>
                <w:rFonts w:ascii="Arial" w:hAnsi="Arial" w:cs="Arial"/>
                <w:sz w:val="10"/>
                <w:szCs w:val="8"/>
                <w:lang w:val="es-BO"/>
              </w:rPr>
            </w:pPr>
          </w:p>
        </w:tc>
        <w:tc>
          <w:tcPr>
            <w:tcW w:w="3034" w:type="dxa"/>
            <w:gridSpan w:val="11"/>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tcPr>
          <w:p w:rsidR="00430174" w:rsidRPr="006853C6"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tcPr>
          <w:p w:rsidR="00430174" w:rsidRPr="006853C6"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73" w:type="dxa"/>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C97101">
        <w:trPr>
          <w:jc w:val="center"/>
        </w:trPr>
        <w:tc>
          <w:tcPr>
            <w:tcW w:w="3484"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DR .ARTURO ARNEZ OSINAGA</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ASESOR LEGAL</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GERENCIA GENERAL</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1596" w:type="dxa"/>
            <w:gridSpan w:val="5"/>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F59A2" w:rsidP="00C97101">
            <w:pPr>
              <w:rPr>
                <w:rFonts w:ascii="Arial" w:hAnsi="Arial" w:cs="Arial"/>
                <w:lang w:val="es-BO"/>
              </w:rPr>
            </w:pPr>
            <w:r>
              <w:rPr>
                <w:rFonts w:ascii="Arial" w:hAnsi="Arial" w:cs="Arial"/>
                <w:lang w:val="es-BO"/>
              </w:rPr>
              <w:t>4256083    4797329</w:t>
            </w:r>
          </w:p>
        </w:tc>
        <w:tc>
          <w:tcPr>
            <w:tcW w:w="281" w:type="dxa"/>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2"/>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4754801</w:t>
            </w:r>
          </w:p>
        </w:tc>
        <w:tc>
          <w:tcPr>
            <w:tcW w:w="277" w:type="dxa"/>
            <w:tcBorders>
              <w:left w:val="single" w:sz="4" w:space="0" w:color="auto"/>
            </w:tcBorders>
          </w:tcPr>
          <w:p w:rsidR="00430174" w:rsidRPr="006853C6" w:rsidRDefault="00430174" w:rsidP="00C97101">
            <w:pPr>
              <w:rPr>
                <w:rFonts w:ascii="Arial" w:hAnsi="Arial" w:cs="Arial"/>
                <w:lang w:val="es-BO"/>
              </w:rPr>
            </w:pPr>
          </w:p>
        </w:tc>
        <w:tc>
          <w:tcPr>
            <w:tcW w:w="1646" w:type="dxa"/>
            <w:gridSpan w:val="6"/>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aarnez@misicuni.gob.bo</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bl>
    <w:p w:rsidR="00430174" w:rsidRPr="006853C6" w:rsidRDefault="00430174" w:rsidP="008E57ED">
      <w:pPr>
        <w:jc w:val="center"/>
        <w:rPr>
          <w:rFonts w:cs="Arial"/>
          <w:b/>
          <w:sz w:val="18"/>
          <w:szCs w:val="18"/>
          <w:lang w:val="es-BO"/>
        </w:rPr>
      </w:pPr>
    </w:p>
    <w:p w:rsidR="00952A07" w:rsidRPr="006853C6" w:rsidRDefault="00952A07" w:rsidP="008E57ED">
      <w:pPr>
        <w:jc w:val="center"/>
        <w:rPr>
          <w:rFonts w:cs="Arial"/>
          <w:b/>
          <w:sz w:val="18"/>
          <w:szCs w:val="1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52A07" w:rsidRPr="006853C6" w:rsidTr="00FC24D7">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lastRenderedPageBreak/>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FC24D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0"/>
                <w:numId w:val="41"/>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FC24D7">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EF59A2" w:rsidP="00EF59A2">
            <w:pPr>
              <w:adjustRightInd w:val="0"/>
              <w:snapToGrid w:val="0"/>
              <w:rPr>
                <w:rFonts w:ascii="Arial" w:hAnsi="Arial" w:cs="Arial"/>
                <w:lang w:val="es-BO"/>
              </w:rPr>
            </w:pPr>
            <w:r>
              <w:rPr>
                <w:rFonts w:ascii="Arial" w:hAnsi="Arial" w:cs="Arial"/>
                <w:lang w:val="es-BO"/>
              </w:rPr>
              <w:t>CALLE INNOMINADA S/N ZONA LINDE CANARRANCHO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CALLE INNOMINADA S/N ZONA LINDE CANARRANCHO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952A07" w:rsidRPr="006853C6" w:rsidRDefault="00952A07" w:rsidP="008E57ED">
      <w:pPr>
        <w:jc w:val="center"/>
        <w:rPr>
          <w:rFonts w:cs="Arial"/>
          <w:b/>
          <w:sz w:val="18"/>
          <w:szCs w:val="18"/>
          <w:lang w:val="es-BO"/>
        </w:rPr>
      </w:pPr>
    </w:p>
    <w:p w:rsidR="005A243B" w:rsidRPr="006853C6" w:rsidRDefault="005A243B" w:rsidP="00BD32B1">
      <w:pPr>
        <w:ind w:left="705"/>
        <w:jc w:val="both"/>
        <w:rPr>
          <w:rFonts w:cs="Arial"/>
          <w:sz w:val="12"/>
          <w:szCs w:val="18"/>
          <w:lang w:val="es-BO"/>
        </w:rPr>
      </w:pPr>
    </w:p>
    <w:p w:rsidR="00A06F21" w:rsidRPr="006853C6" w:rsidRDefault="00A06F21"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A72FB0" w:rsidRPr="006853C6" w:rsidRDefault="00A06F21" w:rsidP="00631F17">
      <w:pPr>
        <w:pStyle w:val="Ttulo"/>
        <w:numPr>
          <w:ilvl w:val="0"/>
          <w:numId w:val="28"/>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BE66F5" w:rsidRPr="006853C6" w:rsidRDefault="00BE66F5" w:rsidP="00BE66F5">
      <w:pPr>
        <w:pStyle w:val="Ttulo"/>
        <w:spacing w:before="0" w:after="0"/>
        <w:ind w:left="432"/>
        <w:jc w:val="both"/>
        <w:rPr>
          <w:rFonts w:ascii="Verdana" w:hAnsi="Verdana"/>
          <w:sz w:val="18"/>
          <w:szCs w:val="18"/>
          <w:lang w:val="es-BO"/>
        </w:rPr>
      </w:pPr>
    </w:p>
    <w:p w:rsidR="00EB16DE" w:rsidRPr="006853C6" w:rsidRDefault="00EB16DE" w:rsidP="00BE66F5">
      <w:pPr>
        <w:autoSpaceDE w:val="0"/>
        <w:autoSpaceDN w:val="0"/>
        <w:adjustRightInd w:val="0"/>
        <w:rPr>
          <w:rFonts w:cs="Verdana"/>
          <w:sz w:val="18"/>
          <w:szCs w:val="18"/>
          <w:lang w:val="es-BO"/>
        </w:rPr>
      </w:pPr>
      <w:r w:rsidRPr="006853C6">
        <w:rPr>
          <w:rFonts w:cs="Verdana"/>
          <w:sz w:val="18"/>
          <w:szCs w:val="18"/>
          <w:lang w:val="es-BO"/>
        </w:rPr>
        <w:t>Los Términos de Referencia para la consultoría, son los siguientes:</w:t>
      </w: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EF59A2" w:rsidRPr="006853C6" w:rsidTr="004B0BA6">
        <w:trPr>
          <w:trHeight w:val="502"/>
        </w:trPr>
        <w:tc>
          <w:tcPr>
            <w:tcW w:w="8505" w:type="dxa"/>
            <w:tcBorders>
              <w:bottom w:val="single" w:sz="4" w:space="0" w:color="auto"/>
            </w:tcBorders>
            <w:shd w:val="clear" w:color="auto" w:fill="DEEAF6"/>
            <w:vAlign w:val="center"/>
          </w:tcPr>
          <w:p w:rsidR="00EF59A2" w:rsidRPr="006853C6" w:rsidRDefault="00EF59A2" w:rsidP="004B0BA6">
            <w:pPr>
              <w:jc w:val="center"/>
              <w:rPr>
                <w:rFonts w:ascii="Arial" w:hAnsi="Arial" w:cs="Arial"/>
              </w:rPr>
            </w:pPr>
          </w:p>
        </w:tc>
      </w:tr>
      <w:tr w:rsidR="00EF59A2" w:rsidRPr="006853C6" w:rsidTr="004B0BA6">
        <w:trPr>
          <w:trHeight w:val="1845"/>
        </w:trPr>
        <w:tc>
          <w:tcPr>
            <w:tcW w:w="8505" w:type="dxa"/>
            <w:tcBorders>
              <w:top w:val="single" w:sz="4" w:space="0" w:color="auto"/>
            </w:tcBorders>
            <w:shd w:val="clear" w:color="auto" w:fill="FFFFFF"/>
          </w:tcPr>
          <w:p w:rsidR="00EF59A2" w:rsidRPr="001D38E4" w:rsidRDefault="00EF59A2" w:rsidP="004B0BA6">
            <w:pPr>
              <w:spacing w:before="100" w:beforeAutospacing="1" w:after="100" w:afterAutospacing="1" w:line="220" w:lineRule="exact"/>
              <w:contextualSpacing/>
              <w:rPr>
                <w:rFonts w:ascii="Ebrima" w:hAnsi="Ebrima"/>
                <w:b/>
                <w:color w:val="000000"/>
                <w:sz w:val="22"/>
                <w:szCs w:val="22"/>
              </w:rPr>
            </w:pPr>
          </w:p>
          <w:p w:rsidR="00EF59A2" w:rsidRPr="001D38E4" w:rsidRDefault="00EF59A2" w:rsidP="004B0BA6">
            <w:pPr>
              <w:spacing w:before="100" w:beforeAutospacing="1" w:after="100" w:afterAutospacing="1" w:line="220" w:lineRule="exact"/>
              <w:contextualSpacing/>
              <w:jc w:val="center"/>
              <w:rPr>
                <w:rFonts w:ascii="Ebrima" w:hAnsi="Ebrima"/>
                <w:b/>
                <w:color w:val="000000"/>
                <w:sz w:val="22"/>
                <w:szCs w:val="22"/>
              </w:rPr>
            </w:pPr>
            <w:r w:rsidRPr="001D38E4">
              <w:rPr>
                <w:rFonts w:ascii="Ebrima" w:hAnsi="Ebrima"/>
                <w:b/>
                <w:color w:val="000000"/>
                <w:sz w:val="22"/>
                <w:szCs w:val="22"/>
              </w:rPr>
              <w:t>CONTRATACION DE APOYO NACIONAL A LA PRODUCCION Y EMPLEO DE SERVICIOS ESPECIALIZADOS</w:t>
            </w:r>
          </w:p>
          <w:p w:rsidR="00EF59A2" w:rsidRPr="001D38E4" w:rsidRDefault="00EF59A2" w:rsidP="004B0BA6">
            <w:pPr>
              <w:spacing w:before="100" w:beforeAutospacing="1" w:after="100" w:afterAutospacing="1" w:line="220" w:lineRule="exact"/>
              <w:contextualSpacing/>
              <w:jc w:val="center"/>
              <w:rPr>
                <w:rFonts w:ascii="Ebrima" w:hAnsi="Ebrima"/>
                <w:b/>
                <w:color w:val="000000"/>
                <w:sz w:val="22"/>
                <w:szCs w:val="22"/>
              </w:rPr>
            </w:pPr>
            <w:r w:rsidRPr="001D38E4">
              <w:rPr>
                <w:rFonts w:ascii="Ebrima" w:hAnsi="Ebrima"/>
                <w:b/>
                <w:color w:val="000000"/>
                <w:sz w:val="22"/>
                <w:szCs w:val="22"/>
              </w:rPr>
              <w:t>TERMINOS DE REFERENCIA</w:t>
            </w:r>
          </w:p>
          <w:p w:rsidR="00EF59A2" w:rsidRPr="001D38E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CONDICIONES BÁSICAS PARA LA CONTRATACIÓN DE UNA EMPRESA CONSULTORA</w:t>
            </w:r>
            <w:r>
              <w:rPr>
                <w:rFonts w:ascii="Ebrima" w:hAnsi="Ebrima"/>
                <w:b/>
                <w:color w:val="000000"/>
                <w:sz w:val="22"/>
                <w:szCs w:val="22"/>
              </w:rPr>
              <w:t xml:space="preserve"> O </w:t>
            </w:r>
            <w:r w:rsidRPr="001D38E4">
              <w:rPr>
                <w:rFonts w:ascii="Ebrima" w:hAnsi="Ebrima"/>
                <w:b/>
                <w:color w:val="000000"/>
                <w:sz w:val="22"/>
                <w:szCs w:val="22"/>
              </w:rPr>
              <w:t>CONSULTOR PARA QUE PRESTE SERVICIOS EN ASESORAMIENTO ESPECIALIZADO EN SEGUROS PARA LA EMPRESA MISICUNI</w:t>
            </w:r>
          </w:p>
          <w:p w:rsidR="00EF59A2" w:rsidRPr="00895874" w:rsidRDefault="00EF59A2" w:rsidP="00EF59A2">
            <w:pPr>
              <w:numPr>
                <w:ilvl w:val="0"/>
                <w:numId w:val="56"/>
              </w:numPr>
              <w:spacing w:before="100" w:beforeAutospacing="1" w:after="100" w:afterAutospacing="1" w:line="220" w:lineRule="exact"/>
              <w:ind w:left="284" w:hanging="284"/>
              <w:contextualSpacing/>
              <w:jc w:val="both"/>
              <w:rPr>
                <w:rFonts w:ascii="Ebrima" w:hAnsi="Ebrima"/>
                <w:b/>
                <w:color w:val="000000"/>
                <w:sz w:val="22"/>
                <w:szCs w:val="22"/>
              </w:rPr>
            </w:pPr>
            <w:r w:rsidRPr="001D38E4">
              <w:rPr>
                <w:rFonts w:ascii="Ebrima" w:hAnsi="Ebrima"/>
                <w:b/>
                <w:color w:val="000000"/>
                <w:sz w:val="22"/>
                <w:szCs w:val="22"/>
              </w:rPr>
              <w:t>DE LA LEGALIDAD Y DEL OBJETIVO</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De conformidad y bajo el amparo del Art. 55 (Modalidad de Contratación de Apoyo Nacional a la Producción y Empleo) del D.S. 0181 y del Art. 79 numeral V del mismo cuerpo legal, así mismo tomando en cuenta la urgente necesidad de contar con un Servicio Especializado e Integral en materia de seguros que requiere la Institución, respecto al manejo, análisis y en su caso la ejecución de Títulos Valores como ser pólizas de Garantía (Caución), Boletas y otros que la EMPRESA MISICUNI mantiene vigentes con los diferentes Contratistas y otras futuras que se pudiesen presentar, así mismo sobre la pólizas actuales y futuras, se requiere contar con un criterio técnico e independiente sobre las condiciones contratadas, el alcance y suficiencia de sus coberturas con relación a los bienes asegurados y el riesgo a los que están expuestos, como también señalar las observaciones y sugerencias que coadyuven a la EMPRESA MISICUNI para mejorar las condiciones de contratación de seguros y garantizar mayor seguridad y protección al patrimonio de la Empresa, por lo que el objetivo del Servicio está compuesto a solo título enunciativo de las siguientes fases: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Revisar, analizar, optimizar, realizar el seguimiento y control a las Pólizas contratadas.</w:t>
            </w:r>
          </w:p>
          <w:p w:rsidR="00EF59A2" w:rsidRPr="001D38E4" w:rsidRDefault="00EF59A2" w:rsidP="004B0BA6">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1.2. Elaborar las Especificaciones Técnicas con la que se realizará la Convocatoria Pública para la próxima gestión con un plazo antelado antes de la finalización de las vigencias de los seguros actuales.</w:t>
            </w:r>
          </w:p>
          <w:p w:rsidR="00EF59A2" w:rsidRPr="001D38E4" w:rsidRDefault="00EF59A2" w:rsidP="004B0BA6">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1.3. Asesorar el proceso de Contratación en estricta sujeción a las normas legales vigentes correspondiente a la contratación de Bienes y Servicios de acuerdo a las Normas Básicas del Sistema de Administración de Bienes y Servicios del D.S. N° 0181 y otras normas vigentes.</w:t>
            </w:r>
          </w:p>
          <w:p w:rsidR="00EF59A2" w:rsidRPr="001D38E4" w:rsidRDefault="00EF59A2" w:rsidP="004B0BA6">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1.4. Asistir a la Comisión de Calificación durante el proceso de contratación de seguros hasta la adjudicación y asesorar en la elaboración, firma del Contrato.</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1.5. Emitir el informe de evaluación técnica final sobre el proceso de contratación.</w:t>
            </w:r>
          </w:p>
          <w:p w:rsidR="00EF59A2" w:rsidRPr="00895874" w:rsidRDefault="00EF59A2" w:rsidP="004B0BA6">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1.6. Capacitar a las Áreas correspondientes con relación a derechos y obligaciones de la Entidad respecto a los seguros contratados.</w:t>
            </w:r>
          </w:p>
          <w:p w:rsidR="00EF59A2" w:rsidRDefault="00EF59A2" w:rsidP="004B0BA6">
            <w:pPr>
              <w:spacing w:before="100" w:beforeAutospacing="1" w:after="100" w:afterAutospacing="1" w:line="220" w:lineRule="exact"/>
              <w:contextualSpacing/>
              <w:jc w:val="both"/>
              <w:rPr>
                <w:rFonts w:ascii="Ebrima" w:hAnsi="Ebrima"/>
                <w:b/>
                <w:color w:val="000000"/>
                <w:sz w:val="22"/>
                <w:szCs w:val="22"/>
              </w:rPr>
            </w:pP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b)  JUSTIFICACIÓN DE LA EMPRESA CONSULTORA:</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La EMPRESA MISICUNI no cuenta con personal especializado en materia de Seguros, en consideración de aquello requiere </w:t>
            </w:r>
            <w:r>
              <w:rPr>
                <w:rFonts w:ascii="Ebrima" w:hAnsi="Ebrima"/>
                <w:color w:val="000000"/>
                <w:sz w:val="22"/>
                <w:szCs w:val="22"/>
              </w:rPr>
              <w:t xml:space="preserve">de </w:t>
            </w:r>
            <w:r w:rsidRPr="001D38E4">
              <w:rPr>
                <w:rFonts w:ascii="Ebrima" w:hAnsi="Ebrima"/>
                <w:color w:val="000000"/>
                <w:sz w:val="22"/>
                <w:szCs w:val="22"/>
              </w:rPr>
              <w:t>una Empresa Consultora</w:t>
            </w:r>
            <w:r>
              <w:rPr>
                <w:rFonts w:ascii="Ebrima" w:hAnsi="Ebrima"/>
                <w:color w:val="000000"/>
                <w:sz w:val="22"/>
                <w:szCs w:val="22"/>
              </w:rPr>
              <w:t xml:space="preserve"> o Consultor</w:t>
            </w:r>
            <w:r w:rsidRPr="001D38E4">
              <w:rPr>
                <w:rFonts w:ascii="Ebrima" w:hAnsi="Ebrima"/>
                <w:color w:val="000000"/>
                <w:sz w:val="22"/>
                <w:szCs w:val="22"/>
              </w:rPr>
              <w:t xml:space="preserve"> que preste el Asesoramiento Especializado en el área, que cuente con un alto grado en conocimiento técnico y especialización en el ramo de Seguros, y en ausencia de un funcionario que reúna dichos conocimientos, requiere efectuar la contratación de una Empresa Consultora</w:t>
            </w:r>
            <w:r>
              <w:rPr>
                <w:rFonts w:ascii="Ebrima" w:hAnsi="Ebrima"/>
                <w:color w:val="000000"/>
                <w:sz w:val="22"/>
                <w:szCs w:val="22"/>
              </w:rPr>
              <w:t xml:space="preserve"> o Consultor</w:t>
            </w:r>
            <w:r w:rsidRPr="001D38E4">
              <w:rPr>
                <w:rFonts w:ascii="Ebrima" w:hAnsi="Ebrima"/>
                <w:color w:val="000000"/>
                <w:sz w:val="22"/>
                <w:szCs w:val="22"/>
              </w:rPr>
              <w:t xml:space="preserve"> en Asesoramiento Especializado en la materia.</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C) PERFIL DE LA EMPRESA CONSULTORA DE SEGUROS: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Para la Contratación, del consultor o empresa, que prestará el servicio de Asesoramiento Especializado en Seguros para la Empresa MISICUNI correspondiente</w:t>
            </w:r>
            <w:r>
              <w:rPr>
                <w:rFonts w:ascii="Ebrima" w:hAnsi="Ebrima"/>
                <w:color w:val="000000"/>
                <w:sz w:val="22"/>
                <w:szCs w:val="22"/>
              </w:rPr>
              <w:t xml:space="preserve"> a la Gestión 2019</w:t>
            </w:r>
            <w:r w:rsidRPr="001D38E4">
              <w:rPr>
                <w:rFonts w:ascii="Ebrima" w:hAnsi="Ebrima"/>
                <w:color w:val="000000"/>
                <w:sz w:val="22"/>
                <w:szCs w:val="22"/>
              </w:rPr>
              <w:t>, deberá presentar para su contratación los siguientes requisitos esenciales: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Fotocopia Simple del Certificado de autorización emitido por la Autoridad de Fiscalización y Control de Pensiones y Seguros APS.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Fotocopia Simple del Registro emitido por la Autoridad de Fiscalización y Control de Pensiones y Seguros APS.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3. Fotocopia simple de la póliza de errores u omisiones </w:t>
            </w:r>
            <w:r w:rsidRPr="00751237">
              <w:rPr>
                <w:rFonts w:ascii="Ebrima" w:hAnsi="Ebrima"/>
                <w:color w:val="000000"/>
                <w:sz w:val="22"/>
                <w:szCs w:val="22"/>
              </w:rPr>
              <w:t>por $us.1’000.000 emitido por la instancia competente.</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4. Fotocopia Simple de Testimonio de Sociedad</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5. Fotocopia Simple del Poder del Representante Legal</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6. Fotocopia Simple del NIT</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7. Fotocopia Simple Certificado Fund</w:t>
            </w:r>
            <w:r>
              <w:rPr>
                <w:rFonts w:ascii="Ebrima" w:hAnsi="Ebrima"/>
                <w:color w:val="000000"/>
                <w:sz w:val="22"/>
                <w:szCs w:val="22"/>
              </w:rPr>
              <w:t>a</w:t>
            </w:r>
            <w:r w:rsidRPr="001D38E4">
              <w:rPr>
                <w:rFonts w:ascii="Ebrima" w:hAnsi="Ebrima"/>
                <w:color w:val="000000"/>
                <w:sz w:val="22"/>
                <w:szCs w:val="22"/>
              </w:rPr>
              <w:t>empresa</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8. Efectuar una declaración jurada sobre los siguientes aspectos establecidos en los incisos a), b), c), d), e) y f) del artículo 79º del D.S.0181, que señala:</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a) Los asesores en seguros deberán estar autorizados y registrados en la Superintendencia de Pensiones, Valores y Seguros (Actual APS).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b) Los asesores en seguros, no deberán tener ninguna relación ni contacto con las compañías aseguradoras respecto al proceso de contratación, ni las Compañías con los asesores.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c) Las compañías aseguradoras no podrán participar en los procesos de contratación a través de: intermediarios, bróker, corredores de seguro y otros, con relación a los procesos de contratación estatales.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d) Los asesores en seguros que presten sus servicios a las entidades públicas no deberán tener ninguna relación de dependencia laboral, societaria, ni de otra naturaleza con las compañías aseguradoras.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9. Guardar la mayor reserva profesional sobre las negociaciones en las que intervenga, siendo responsable civil y en su caso, penalmente, de los daños que ocasione.</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10. La empresa proponente deberá contar con su oficina principal (central) en la ciudad de Cochabamba. (Presentar Resolución Administrativa de la ex Superintendencia de Pensiones, Valores y Seguros donde se señale como domicilio principal de la sociedad a esta ciudad).</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No estar comprendido en las incompatibilidades establecidas por Ley.</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12. El proponente deberá contar con la experiencia probada de mínima cuatro (4) años en asesoramiento a empresas publicas y/o Instituciones del ramo.</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d) ALCANCE:</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Elaboración de especificaciones técnicas de los nuevos procesos de contratación de Seguros Gestión 2019, apoyo mediante la emisión de informes técnicos durante y después del proceso de contratación de la Empresa Aseguradora, con la finalidad de elegir la mejor alternativa durante el proceso de calificación, en beneficio de nuestra institución.</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La elaboración deberá efectuarse en coordinación con la Gerencia Administrativa Financiera y la Unidad de Asesoría Legal.</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la empresa solicitante del seguro (MISICUNI), a los fines de verificar que los contratos y las coberturas insertas sean las más adecuadas a sus intereses, esto con relación a la gestión 2019.</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Ilustrar a MISICUNI de manera detallada y precisa sobre las cláusulas del contrato de seguro, su interpretación y su extensión, verificando que las pólizas contratadas y en vigencia contengan las estipulaciones y condiciones bajo las cuales se contrató el seguro.</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MISICUNI durante las vigencias de los contratos d</w:t>
            </w:r>
            <w:r>
              <w:rPr>
                <w:rFonts w:ascii="Ebrima" w:hAnsi="Ebrima"/>
                <w:color w:val="000000"/>
                <w:sz w:val="22"/>
                <w:szCs w:val="22"/>
              </w:rPr>
              <w:t>e seguro gestión 2019</w:t>
            </w:r>
            <w:r w:rsidRPr="001D38E4">
              <w:rPr>
                <w:rFonts w:ascii="Ebrima" w:hAnsi="Ebrima"/>
                <w:color w:val="000000"/>
                <w:sz w:val="22"/>
                <w:szCs w:val="22"/>
              </w:rPr>
              <w:t>, acerca de sus derechos y obligaciones, en particular en materia de siniestros y pago de primas.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Efectuar los trámites ante las instancias pertinentes para atender situaciones de riesgos y siniestros, en el marco de las pólizas de seguro contratadas y vigentes, emitiendo informes sustentados de manera detallada, documentada y cuantificada.</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y gestionar en caso de siniestros las soluciones correspondientes efectuando los trámites ante las instancias pertinentes y la entidad aseguradora, en el marco de Seguro Obligatorio Contra Accidentes de Tránsito (SOAT) para vehículos livianos, pesados de MISICUNI.</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de forma integral a MISICUNI respecto a Pólizas de Fianzas y/o Boletas Bancarias que les hayan sido entregadas y/o por entregar, emergentes de Seriedad de Propuesta, Cumplimiento de Contrato y de Correcta Inversión de Anticipo, en caso de su o sus ejecuciones Asesorar antes, durante y después, al efecto de llevar a cabo el debido proceso, que garanticen las recuperaciones que correspondan, al efecto y en caso de que se requieran pasajes y viáticos por viajes fuera del departamento de Cochabamba, estos gastos serán pagados y cancelados previa aprobación por la Empresa Misicuni.</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e) CONFLICTO DE INTERESES:</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No se contratará a ningún proponente, que tenga conflicto de intereses con MISICUNI, por incumplimiento de la Ley Nº 1883 y el D.S.0181, por no cumplir las circunstancias que se indican a continuación:</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El Asesor de Seguros, es la persona jurídica que realiza la actividad comercial de intermediar en seguros privados sin mantener vínculo contractual con ninguna entidad aseguradora.</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Los asesores de seguros deberán tener objeto social único consistente en la realización de intermediación en seguros privados sin mantener contrato de agencia o vínculo que suponga afección con ninguna entidad aseguradora. Los corredores de seguros podrán ser también asesores en seguros, pero no podrán detentar ambas calidades en una misma operación.</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f) DURACIÓN DE LA CONSULTORÍA:</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tendrá una duración</w:t>
            </w:r>
            <w:r>
              <w:rPr>
                <w:rFonts w:ascii="Ebrima" w:hAnsi="Ebrima"/>
                <w:color w:val="000000"/>
                <w:sz w:val="22"/>
                <w:szCs w:val="22"/>
              </w:rPr>
              <w:t xml:space="preserve"> aproximada</w:t>
            </w:r>
            <w:r w:rsidRPr="001D38E4">
              <w:rPr>
                <w:rFonts w:ascii="Ebrima" w:hAnsi="Ebrima"/>
                <w:color w:val="000000"/>
                <w:sz w:val="22"/>
                <w:szCs w:val="22"/>
              </w:rPr>
              <w:t xml:space="preserve"> de </w:t>
            </w:r>
            <w:r>
              <w:rPr>
                <w:rFonts w:ascii="Ebrima" w:hAnsi="Ebrima"/>
                <w:color w:val="000000"/>
                <w:sz w:val="22"/>
                <w:szCs w:val="22"/>
              </w:rPr>
              <w:t>9</w:t>
            </w:r>
            <w:r w:rsidRPr="001D38E4">
              <w:rPr>
                <w:rFonts w:ascii="Ebrima" w:hAnsi="Ebrima"/>
                <w:color w:val="000000"/>
                <w:sz w:val="22"/>
                <w:szCs w:val="22"/>
              </w:rPr>
              <w:t xml:space="preserve"> meses</w:t>
            </w:r>
            <w:r>
              <w:rPr>
                <w:rFonts w:ascii="Ebrima" w:hAnsi="Ebrima"/>
                <w:color w:val="000000"/>
                <w:sz w:val="22"/>
                <w:szCs w:val="22"/>
              </w:rPr>
              <w:t xml:space="preserve"> o a prorrata el tiempo de la consultoría dependiendo los días que demore el proceso de contratación</w:t>
            </w:r>
            <w:r w:rsidRPr="001D38E4">
              <w:rPr>
                <w:rFonts w:ascii="Ebrima" w:hAnsi="Ebrima"/>
                <w:color w:val="000000"/>
                <w:sz w:val="22"/>
                <w:szCs w:val="22"/>
              </w:rPr>
              <w:t>, a partir de la suscripción del contrato</w:t>
            </w:r>
            <w:r>
              <w:rPr>
                <w:rFonts w:ascii="Ebrima" w:hAnsi="Ebrima"/>
                <w:color w:val="000000"/>
                <w:sz w:val="22"/>
                <w:szCs w:val="22"/>
              </w:rPr>
              <w:t xml:space="preserve"> hasta el 31 de diciembre de 2019.</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g) FORMA DE PAGO:</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costo total del servicio asciende a Bs.</w:t>
            </w:r>
            <w:r>
              <w:rPr>
                <w:rFonts w:ascii="Ebrima" w:hAnsi="Ebrima"/>
                <w:color w:val="000000"/>
                <w:sz w:val="22"/>
                <w:szCs w:val="22"/>
              </w:rPr>
              <w:t>81</w:t>
            </w:r>
            <w:r w:rsidRPr="001D38E4">
              <w:rPr>
                <w:rFonts w:ascii="Ebrima" w:hAnsi="Ebrima"/>
                <w:color w:val="000000"/>
                <w:sz w:val="22"/>
                <w:szCs w:val="22"/>
              </w:rPr>
              <w:t>.00,00 (</w:t>
            </w:r>
            <w:r>
              <w:rPr>
                <w:rFonts w:ascii="Ebrima" w:hAnsi="Ebrima"/>
                <w:color w:val="000000"/>
                <w:sz w:val="22"/>
                <w:szCs w:val="22"/>
              </w:rPr>
              <w:t>Ochenta y un mil</w:t>
            </w:r>
            <w:r w:rsidRPr="001D38E4">
              <w:rPr>
                <w:rFonts w:ascii="Ebrima" w:hAnsi="Ebrima"/>
                <w:color w:val="000000"/>
                <w:sz w:val="22"/>
                <w:szCs w:val="22"/>
              </w:rPr>
              <w:t xml:space="preserve"> 00/100 bolivianos),</w:t>
            </w:r>
            <w:r>
              <w:rPr>
                <w:rFonts w:ascii="Ebrima" w:hAnsi="Ebrima"/>
                <w:color w:val="000000"/>
                <w:sz w:val="22"/>
                <w:szCs w:val="22"/>
              </w:rPr>
              <w:t xml:space="preserve"> siendo el monto mensual de Bs.9.000 (Nueve mil 00/100 bolivianos)</w:t>
            </w:r>
            <w:r w:rsidRPr="001D38E4">
              <w:rPr>
                <w:rFonts w:ascii="Ebrima" w:hAnsi="Ebrima"/>
                <w:color w:val="000000"/>
                <w:sz w:val="22"/>
                <w:szCs w:val="22"/>
              </w:rPr>
              <w:t xml:space="preserve"> a ser cancelados de la siguiente forma:</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30% a la entrega del primer informe (a partir de la fecha de suscripción de contrato hast</w:t>
            </w:r>
            <w:r>
              <w:rPr>
                <w:rFonts w:ascii="Ebrima" w:hAnsi="Ebrima"/>
                <w:color w:val="000000"/>
                <w:sz w:val="22"/>
                <w:szCs w:val="22"/>
              </w:rPr>
              <w:t>a finalizar el mes de Junio/2019</w:t>
            </w:r>
            <w:r w:rsidRPr="001D38E4">
              <w:rPr>
                <w:rFonts w:ascii="Ebrima" w:hAnsi="Ebrima"/>
                <w:color w:val="000000"/>
                <w:sz w:val="22"/>
                <w:szCs w:val="22"/>
              </w:rPr>
              <w:t>), con el informe de aprobación del Responsable de la Recepción del Servicio.</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30% a la entrega del segundo informe </w:t>
            </w:r>
            <w:r>
              <w:rPr>
                <w:rFonts w:ascii="Ebrima" w:hAnsi="Ebrima"/>
                <w:color w:val="000000"/>
                <w:sz w:val="22"/>
                <w:szCs w:val="22"/>
              </w:rPr>
              <w:t>(finalizar Septiembre/2019</w:t>
            </w:r>
            <w:r w:rsidRPr="001D38E4">
              <w:rPr>
                <w:rFonts w:ascii="Ebrima" w:hAnsi="Ebrima"/>
                <w:color w:val="000000"/>
                <w:sz w:val="22"/>
                <w:szCs w:val="22"/>
              </w:rPr>
              <w:t>), con el informe de aprobación del Responsable de la Recepción del Servicio.</w:t>
            </w:r>
          </w:p>
          <w:p w:rsidR="00EF59A2"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40% a la entrega del tercer informe (</w:t>
            </w:r>
            <w:r>
              <w:rPr>
                <w:rFonts w:ascii="Ebrima" w:hAnsi="Ebrima"/>
                <w:color w:val="000000"/>
                <w:sz w:val="22"/>
                <w:szCs w:val="22"/>
              </w:rPr>
              <w:t>finalizar Diciembre/2019</w:t>
            </w:r>
            <w:r w:rsidRPr="001D38E4">
              <w:rPr>
                <w:rFonts w:ascii="Ebrima" w:hAnsi="Ebrima"/>
                <w:color w:val="000000"/>
                <w:sz w:val="22"/>
                <w:szCs w:val="22"/>
              </w:rPr>
              <w:t>), con el informe de aprobación del Responsable de la Recepción del Servicio.</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4DF2">
              <w:rPr>
                <w:rFonts w:ascii="Ebrima" w:hAnsi="Ebrima"/>
                <w:b/>
                <w:color w:val="000000"/>
                <w:sz w:val="22"/>
                <w:szCs w:val="22"/>
              </w:rPr>
              <w:t>El monto es global por 9 meses y será ajustado de acuerdo al plazo efectivo del servicio es decir a partir de la suscripción del contrato.</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La Recepción del servicio, deberá contener la conformidad o disconformidad del mismo, adjuntando la solicitud de pago, la factura y otros documentos de respaldo.</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h) INFORMES A PRESENTAR:</w:t>
            </w:r>
          </w:p>
          <w:p w:rsidR="00EF59A2" w:rsidRPr="001D38E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Los informes a presentar serán de la siguiente manera:</w:t>
            </w:r>
          </w:p>
          <w:p w:rsidR="00EF59A2"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Tres (3) Informes sustentados sobre los trámites y acciones realizadas ante las instancias pertinentes.</w:t>
            </w:r>
          </w:p>
          <w:p w:rsidR="00EF59A2" w:rsidRDefault="00EF59A2" w:rsidP="004B0BA6">
            <w:pPr>
              <w:spacing w:before="100" w:beforeAutospacing="1" w:after="100" w:afterAutospacing="1" w:line="220" w:lineRule="exact"/>
              <w:contextualSpacing/>
              <w:jc w:val="both"/>
              <w:rPr>
                <w:rFonts w:ascii="Ebrima" w:hAnsi="Ebrima"/>
                <w:color w:val="000000"/>
                <w:sz w:val="22"/>
                <w:szCs w:val="22"/>
              </w:rPr>
            </w:pP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i) MODALIDAD DE CONTRATACION:</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contratado bajo la modalidad de contratación de Modalidad de Apoyo Nacional a la Producción y Empleo, según lo establecido en el artículo 56° del D.S. 0181 (NB-SABS).</w:t>
            </w:r>
          </w:p>
          <w:p w:rsidR="00EF59A2" w:rsidRPr="00895874" w:rsidRDefault="00EF59A2" w:rsidP="004B0BA6">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j) RESPONSABLE DE RECEPCION DEL SERVICIO:</w:t>
            </w:r>
          </w:p>
          <w:p w:rsidR="00EF59A2" w:rsidRPr="00895874" w:rsidRDefault="00EF59A2" w:rsidP="004B0BA6">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recepcionado por el Ase</w:t>
            </w:r>
            <w:r>
              <w:rPr>
                <w:rFonts w:ascii="Ebrima" w:hAnsi="Ebrima"/>
                <w:color w:val="000000"/>
                <w:sz w:val="22"/>
                <w:szCs w:val="22"/>
              </w:rPr>
              <w:t xml:space="preserve">sor Legal de la Empresa </w:t>
            </w:r>
            <w:r w:rsidRPr="001D38E4">
              <w:rPr>
                <w:rFonts w:ascii="Ebrima" w:hAnsi="Ebrima"/>
                <w:color w:val="000000"/>
                <w:sz w:val="22"/>
                <w:szCs w:val="22"/>
              </w:rPr>
              <w:t>MISICUNI, con visto bueno de la Gerencia General.</w:t>
            </w:r>
          </w:p>
          <w:p w:rsidR="00EF59A2" w:rsidRPr="001D38E4" w:rsidRDefault="00EF59A2" w:rsidP="004B0BA6">
            <w:pPr>
              <w:spacing w:line="220" w:lineRule="exact"/>
              <w:contextualSpacing/>
              <w:jc w:val="both"/>
              <w:rPr>
                <w:rFonts w:ascii="Ebrima" w:hAnsi="Ebrima" w:cs="Arial"/>
                <w:b/>
                <w:sz w:val="22"/>
                <w:szCs w:val="22"/>
              </w:rPr>
            </w:pPr>
            <w:r w:rsidRPr="001D38E4">
              <w:rPr>
                <w:rFonts w:ascii="Ebrima" w:hAnsi="Ebrima" w:cs="Arial"/>
                <w:b/>
                <w:sz w:val="22"/>
                <w:szCs w:val="22"/>
              </w:rPr>
              <w:t>k) GARANTÍA DE CUMPLIMIENTO DE CONTRATO:</w:t>
            </w:r>
          </w:p>
          <w:p w:rsidR="00EF59A2" w:rsidRPr="001D38E4" w:rsidRDefault="00EF59A2" w:rsidP="004B0BA6">
            <w:pPr>
              <w:spacing w:line="220" w:lineRule="exact"/>
              <w:ind w:left="640"/>
              <w:contextualSpacing/>
              <w:jc w:val="both"/>
              <w:rPr>
                <w:rFonts w:ascii="Ebrima" w:hAnsi="Ebrima" w:cs="Arial"/>
                <w:sz w:val="22"/>
                <w:szCs w:val="22"/>
              </w:rPr>
            </w:pPr>
          </w:p>
          <w:p w:rsidR="00EF59A2" w:rsidRPr="001D38E4" w:rsidRDefault="00EF59A2" w:rsidP="004B0BA6">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aplicación del Art. 21 inciso b) del Reglamento al Texto Ordenado al D.S. 181, normativa empleada en el proceso de contratación se deberá realizar la retención del 7% sobre cada pago en sustitución de garantía de cumplimiento de contrato. Una vez presentado el informe final la firma consultora requerirá la devolución de la retención.</w:t>
            </w:r>
          </w:p>
          <w:p w:rsidR="00EF59A2" w:rsidRPr="001D38E4" w:rsidRDefault="00EF59A2" w:rsidP="004B0BA6">
            <w:pPr>
              <w:spacing w:line="220" w:lineRule="exact"/>
              <w:ind w:left="708"/>
              <w:contextualSpacing/>
              <w:jc w:val="both"/>
              <w:rPr>
                <w:rFonts w:ascii="Ebrima" w:hAnsi="Ebrima"/>
                <w:sz w:val="22"/>
                <w:szCs w:val="22"/>
              </w:rPr>
            </w:pPr>
          </w:p>
          <w:p w:rsidR="00EF59A2" w:rsidRPr="001D38E4" w:rsidRDefault="00EF59A2" w:rsidP="004B0BA6">
            <w:pPr>
              <w:spacing w:line="220" w:lineRule="exact"/>
              <w:contextualSpacing/>
              <w:jc w:val="both"/>
              <w:rPr>
                <w:rFonts w:ascii="Ebrima" w:hAnsi="Ebrima" w:cs="Arial"/>
                <w:b/>
                <w:sz w:val="22"/>
                <w:szCs w:val="22"/>
              </w:rPr>
            </w:pPr>
            <w:r w:rsidRPr="001D38E4">
              <w:rPr>
                <w:rFonts w:ascii="Ebrima" w:hAnsi="Ebrima" w:cs="Arial"/>
                <w:b/>
                <w:sz w:val="22"/>
                <w:szCs w:val="22"/>
              </w:rPr>
              <w:t>L) IMPUESTOS Y SISTEMA DE PENSIONES:</w:t>
            </w:r>
          </w:p>
          <w:p w:rsidR="00EF59A2" w:rsidRPr="001D38E4" w:rsidRDefault="00EF59A2" w:rsidP="004B0BA6">
            <w:pPr>
              <w:spacing w:line="220" w:lineRule="exact"/>
              <w:ind w:left="708"/>
              <w:contextualSpacing/>
              <w:jc w:val="both"/>
              <w:rPr>
                <w:rFonts w:ascii="Ebrima" w:hAnsi="Ebrima"/>
                <w:sz w:val="22"/>
                <w:szCs w:val="22"/>
              </w:rPr>
            </w:pPr>
          </w:p>
          <w:p w:rsidR="00EF59A2" w:rsidRPr="001D38E4" w:rsidRDefault="00EF59A2" w:rsidP="004B0BA6">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todos los pagos, la firma consultora o el consultor deberá adjuntar la nota fiscal (factura) a nombre de la entidad convocante, describiendo a que periodo corresponde; para su posterior pago.</w:t>
            </w:r>
          </w:p>
          <w:p w:rsidR="00EF59A2" w:rsidRPr="001D38E4" w:rsidRDefault="00EF59A2" w:rsidP="004B0BA6">
            <w:pPr>
              <w:autoSpaceDE w:val="0"/>
              <w:autoSpaceDN w:val="0"/>
              <w:adjustRightInd w:val="0"/>
              <w:spacing w:line="220" w:lineRule="exact"/>
              <w:ind w:left="640"/>
              <w:contextualSpacing/>
              <w:jc w:val="both"/>
              <w:rPr>
                <w:rFonts w:ascii="Ebrima" w:hAnsi="Ebrima"/>
                <w:color w:val="000000"/>
                <w:sz w:val="22"/>
                <w:szCs w:val="22"/>
              </w:rPr>
            </w:pPr>
          </w:p>
          <w:p w:rsidR="00EF59A2" w:rsidRPr="001D38E4" w:rsidRDefault="00EF59A2" w:rsidP="004B0BA6">
            <w:pPr>
              <w:autoSpaceDE w:val="0"/>
              <w:autoSpaceDN w:val="0"/>
              <w:adjustRightInd w:val="0"/>
              <w:spacing w:line="220" w:lineRule="exact"/>
              <w:contextualSpacing/>
              <w:jc w:val="both"/>
              <w:rPr>
                <w:rFonts w:ascii="Ebrima" w:hAnsi="Ebrima"/>
                <w:b/>
                <w:color w:val="000000"/>
                <w:sz w:val="22"/>
                <w:szCs w:val="22"/>
              </w:rPr>
            </w:pPr>
            <w:r w:rsidRPr="001D38E4">
              <w:rPr>
                <w:rFonts w:ascii="Ebrima" w:hAnsi="Ebrima"/>
                <w:b/>
                <w:color w:val="000000"/>
                <w:sz w:val="22"/>
                <w:szCs w:val="22"/>
              </w:rPr>
              <w:t>m)</w:t>
            </w:r>
            <w:r w:rsidRPr="001D38E4">
              <w:rPr>
                <w:rFonts w:ascii="Ebrima" w:hAnsi="Ebrima"/>
                <w:color w:val="000000"/>
                <w:sz w:val="22"/>
                <w:szCs w:val="22"/>
              </w:rPr>
              <w:t xml:space="preserve"> </w:t>
            </w:r>
            <w:r w:rsidRPr="001D38E4">
              <w:rPr>
                <w:rFonts w:ascii="Ebrima" w:hAnsi="Ebrima"/>
                <w:b/>
                <w:color w:val="000000"/>
                <w:sz w:val="22"/>
                <w:szCs w:val="22"/>
              </w:rPr>
              <w:t>CERTIFICACIÓN DE NO ADEUDO</w:t>
            </w:r>
          </w:p>
          <w:p w:rsidR="00EF59A2" w:rsidRPr="001D38E4" w:rsidRDefault="00EF59A2" w:rsidP="004B0BA6">
            <w:pPr>
              <w:autoSpaceDE w:val="0"/>
              <w:autoSpaceDN w:val="0"/>
              <w:adjustRightInd w:val="0"/>
              <w:spacing w:line="220" w:lineRule="exact"/>
              <w:contextualSpacing/>
              <w:jc w:val="both"/>
              <w:rPr>
                <w:rFonts w:ascii="Ebrima" w:hAnsi="Ebrima"/>
                <w:color w:val="000000"/>
                <w:sz w:val="22"/>
                <w:szCs w:val="22"/>
              </w:rPr>
            </w:pPr>
          </w:p>
          <w:p w:rsidR="00EF59A2" w:rsidRDefault="00EF59A2" w:rsidP="004B0BA6">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Tomándose en cuenta el plazo de duración del servicio, el proponente adjudicado deberá presentar la Certificación de no adeudo al Sistema Integral de Pensiones (SIP), establecida en el Articulo 100 y 101 de la Ley N° 065 de Pensiones y D.S.778.</w:t>
            </w:r>
          </w:p>
          <w:p w:rsidR="00EF59A2" w:rsidRPr="00DF0F3D" w:rsidRDefault="00EF59A2" w:rsidP="004B0BA6">
            <w:pPr>
              <w:autoSpaceDE w:val="0"/>
              <w:autoSpaceDN w:val="0"/>
              <w:adjustRightInd w:val="0"/>
              <w:spacing w:line="220" w:lineRule="exact"/>
              <w:contextualSpacing/>
              <w:jc w:val="both"/>
              <w:rPr>
                <w:rFonts w:ascii="Ebrima" w:hAnsi="Ebrima"/>
                <w:color w:val="000000"/>
                <w:sz w:val="22"/>
                <w:szCs w:val="22"/>
              </w:rPr>
            </w:pPr>
          </w:p>
        </w:tc>
      </w:tr>
    </w:tbl>
    <w:p w:rsidR="00A72FB0" w:rsidRPr="006853C6" w:rsidRDefault="00A72FB0" w:rsidP="00A72FB0">
      <w:pPr>
        <w:jc w:val="both"/>
        <w:rPr>
          <w:rFonts w:ascii="Arial" w:hAnsi="Arial" w:cs="Arial"/>
          <w:lang w:val="es-BO"/>
        </w:rPr>
      </w:pPr>
    </w:p>
    <w:p w:rsidR="005C3EBC" w:rsidRPr="006853C6" w:rsidRDefault="00A72FB0" w:rsidP="00C006D5">
      <w:pPr>
        <w:jc w:val="center"/>
        <w:rPr>
          <w:b/>
          <w:lang w:val="es-BO"/>
        </w:rPr>
      </w:pPr>
      <w:r w:rsidRPr="006853C6">
        <w:rPr>
          <w:lang w:val="es-BO"/>
        </w:rPr>
        <w:br w:type="page"/>
      </w:r>
      <w:r w:rsidR="005C3EBC" w:rsidRPr="006853C6">
        <w:rPr>
          <w:b/>
          <w:sz w:val="18"/>
          <w:lang w:val="es-BO"/>
        </w:rPr>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9291F">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D347DB">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631F17">
      <w:pPr>
        <w:numPr>
          <w:ilvl w:val="0"/>
          <w:numId w:val="24"/>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NB-SABS y el presente DBC.</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aquella  documentación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631F17">
      <w:pPr>
        <w:numPr>
          <w:ilvl w:val="0"/>
          <w:numId w:val="20"/>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631F17">
      <w:pPr>
        <w:numPr>
          <w:ilvl w:val="0"/>
          <w:numId w:val="20"/>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631F17">
      <w:pPr>
        <w:numPr>
          <w:ilvl w:val="0"/>
          <w:numId w:val="20"/>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9291F">
            <w:pPr>
              <w:pStyle w:val="Prrafodelista"/>
              <w:numPr>
                <w:ilvl w:val="0"/>
                <w:numId w:val="37"/>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9291F">
            <w:pPr>
              <w:pStyle w:val="Prrafodelista"/>
              <w:numPr>
                <w:ilvl w:val="0"/>
                <w:numId w:val="38"/>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9291F">
            <w:pPr>
              <w:pStyle w:val="Prrafodelista"/>
              <w:numPr>
                <w:ilvl w:val="0"/>
                <w:numId w:val="38"/>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631F17">
            <w:pPr>
              <w:numPr>
                <w:ilvl w:val="0"/>
                <w:numId w:val="15"/>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F11E90">
      <w:pPr>
        <w:rPr>
          <w:rFonts w:cs="Arial"/>
          <w:b/>
          <w:i/>
          <w:szCs w:val="18"/>
          <w:lang w:val="es-BO"/>
        </w:rPr>
      </w:pPr>
    </w:p>
    <w:p w:rsidR="00A00331" w:rsidRPr="006853C6" w:rsidRDefault="00A00331" w:rsidP="00B9738F">
      <w:pPr>
        <w:jc w:val="center"/>
        <w:rPr>
          <w:b/>
          <w:sz w:val="18"/>
          <w:szCs w:val="18"/>
          <w:lang w:val="es-BO"/>
        </w:rPr>
      </w:pPr>
    </w:p>
    <w:p w:rsidR="002F72A1" w:rsidRPr="006853C6" w:rsidRDefault="002F72A1" w:rsidP="002F72A1">
      <w:pPr>
        <w:rPr>
          <w:rFonts w:ascii="Arial" w:hAnsi="Arial" w:cs="Arial"/>
          <w:sz w:val="18"/>
          <w:szCs w:val="18"/>
          <w:lang w:val="es-BO"/>
        </w:rPr>
      </w:pPr>
    </w:p>
    <w:p w:rsidR="002F72A1" w:rsidRPr="006853C6"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740872">
        <w:trPr>
          <w:trHeight w:val="408"/>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AC79B9">
        <w:trPr>
          <w:trHeight w:hRule="exact" w:val="1951"/>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5D2424" w:rsidRDefault="005D2424"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Pr="006853C6" w:rsidRDefault="00F11E90"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676481" w:rsidRPr="006853C6" w:rsidTr="007853A9">
        <w:trPr>
          <w:tblHeader/>
        </w:trPr>
        <w:tc>
          <w:tcPr>
            <w:tcW w:w="6805" w:type="dxa"/>
            <w:gridSpan w:val="3"/>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Para ser llenado por la Entidad convocante</w:t>
            </w:r>
          </w:p>
          <w:p w:rsidR="00676481" w:rsidRPr="006853C6" w:rsidRDefault="00676481" w:rsidP="00E5668B">
            <w:pPr>
              <w:jc w:val="center"/>
              <w:rPr>
                <w:rFonts w:cs="Arial"/>
                <w:b/>
                <w:i/>
                <w:lang w:val="es-BO"/>
              </w:rPr>
            </w:pPr>
            <w:r w:rsidRPr="006853C6">
              <w:rPr>
                <w:rFonts w:cs="Arial"/>
                <w:b/>
                <w:i/>
                <w:lang w:val="es-BO"/>
              </w:rPr>
              <w:t>(llenar de manera previa a la publicación del DBC)</w:t>
            </w:r>
          </w:p>
        </w:tc>
        <w:tc>
          <w:tcPr>
            <w:tcW w:w="2977" w:type="dxa"/>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7853A9">
        <w:trPr>
          <w:trHeight w:val="895"/>
        </w:trPr>
        <w:tc>
          <w:tcPr>
            <w:tcW w:w="1128"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w:t>
            </w:r>
          </w:p>
        </w:tc>
        <w:tc>
          <w:tcPr>
            <w:tcW w:w="3692"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Condiciones Adicionales Solicitada</w:t>
            </w:r>
            <w:r w:rsidR="001532EB" w:rsidRPr="006853C6">
              <w:rPr>
                <w:rFonts w:cs="Arial"/>
                <w:b/>
                <w:lang w:val="es-BO"/>
              </w:rPr>
              <w:t>s</w:t>
            </w:r>
            <w:r w:rsidRPr="006853C6">
              <w:rPr>
                <w:rFonts w:cs="Arial"/>
                <w:b/>
                <w:lang w:val="es-BO"/>
              </w:rPr>
              <w:t xml:space="preserve"> (*)</w:t>
            </w:r>
          </w:p>
        </w:tc>
        <w:tc>
          <w:tcPr>
            <w:tcW w:w="1985" w:type="dxa"/>
            <w:shd w:val="clear" w:color="auto" w:fill="BDD6EE" w:themeFill="accent1" w:themeFillTint="66"/>
            <w:vAlign w:val="center"/>
          </w:tcPr>
          <w:p w:rsidR="00676481" w:rsidRPr="006853C6" w:rsidRDefault="00676481" w:rsidP="00E5668B">
            <w:pPr>
              <w:jc w:val="center"/>
              <w:rPr>
                <w:rFonts w:cs="Arial"/>
                <w:b/>
                <w:i/>
                <w:sz w:val="14"/>
                <w:szCs w:val="14"/>
                <w:lang w:val="es-BO"/>
              </w:rPr>
            </w:pPr>
            <w:r w:rsidRPr="006853C6">
              <w:rPr>
                <w:rFonts w:cs="Arial"/>
                <w:b/>
                <w:lang w:val="es-BO"/>
              </w:rPr>
              <w:t>Puntaje asignado (definir puntaje)</w:t>
            </w:r>
            <w:r w:rsidR="00633926" w:rsidRPr="006853C6">
              <w:rPr>
                <w:rFonts w:cs="Arial"/>
                <w:b/>
                <w:lang w:val="es-BO"/>
              </w:rPr>
              <w:t xml:space="preserve"> (**)</w:t>
            </w:r>
          </w:p>
        </w:tc>
        <w:tc>
          <w:tcPr>
            <w:tcW w:w="2977" w:type="dxa"/>
            <w:shd w:val="clear" w:color="auto" w:fill="DEEAF6" w:themeFill="accent1" w:themeFillTint="33"/>
            <w:vAlign w:val="center"/>
          </w:tcPr>
          <w:p w:rsidR="00676481" w:rsidRPr="006853C6" w:rsidRDefault="00676481" w:rsidP="00E5668B">
            <w:pPr>
              <w:jc w:val="center"/>
              <w:rPr>
                <w:rFonts w:cs="Arial"/>
                <w:b/>
                <w:lang w:val="es-BO"/>
              </w:rPr>
            </w:pPr>
            <w:r w:rsidRPr="006853C6">
              <w:rPr>
                <w:rFonts w:cs="Arial"/>
                <w:b/>
                <w:lang w:val="es-BO"/>
              </w:rPr>
              <w:t>Condiciones Adicionales  Propuestas (*</w:t>
            </w:r>
            <w:r w:rsidR="00633926" w:rsidRPr="006853C6">
              <w:rPr>
                <w:rFonts w:cs="Arial"/>
                <w:b/>
                <w:lang w:val="es-BO"/>
              </w:rPr>
              <w:t>*</w:t>
            </w:r>
            <w:r w:rsidRPr="006853C6">
              <w:rPr>
                <w:rFonts w:cs="Arial"/>
                <w:b/>
                <w:lang w:val="es-BO"/>
              </w:rPr>
              <w:t>*)</w:t>
            </w: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1</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center"/>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2</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3</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4</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5</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6</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n</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bl>
    <w:p w:rsidR="00676481" w:rsidRPr="006853C6" w:rsidRDefault="00676481" w:rsidP="00676481">
      <w:pPr>
        <w:jc w:val="both"/>
        <w:rPr>
          <w:lang w:val="es-BO"/>
        </w:rPr>
      </w:pPr>
    </w:p>
    <w:p w:rsidR="00633926" w:rsidRPr="006853C6" w:rsidRDefault="00676481" w:rsidP="005E503E">
      <w:pPr>
        <w:ind w:left="-709"/>
        <w:jc w:val="both"/>
        <w:rPr>
          <w:sz w:val="18"/>
          <w:lang w:val="es-BO"/>
        </w:rPr>
      </w:pPr>
      <w:r w:rsidRPr="006853C6">
        <w:rPr>
          <w:rFonts w:ascii="Arial" w:hAnsi="Arial" w:cs="Arial"/>
          <w:lang w:val="es-BO"/>
        </w:rPr>
        <w:t xml:space="preserve"> </w:t>
      </w: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ejemplo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5E503E">
      <w:pPr>
        <w:ind w:left="-709"/>
        <w:jc w:val="both"/>
        <w:rPr>
          <w:sz w:val="18"/>
          <w:lang w:val="es-BO"/>
        </w:rPr>
      </w:pPr>
    </w:p>
    <w:p w:rsidR="00A51480" w:rsidRPr="006853C6" w:rsidRDefault="00676481" w:rsidP="005E503E">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5E503E">
      <w:pPr>
        <w:ind w:left="-709"/>
        <w:jc w:val="both"/>
        <w:rPr>
          <w:sz w:val="18"/>
          <w:lang w:val="es-BO"/>
        </w:rPr>
      </w:pPr>
    </w:p>
    <w:p w:rsidR="00676481" w:rsidRPr="006853C6" w:rsidRDefault="00A51480" w:rsidP="005E503E">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7853A9" w:rsidRPr="006853C6" w:rsidRDefault="007853A9" w:rsidP="00A72FB0">
      <w:pPr>
        <w:jc w:val="center"/>
        <w:rPr>
          <w:rFonts w:cs="Arial"/>
          <w:b/>
          <w:sz w:val="18"/>
          <w:szCs w:val="18"/>
          <w:lang w:val="es-BO"/>
        </w:rPr>
      </w:pPr>
    </w:p>
    <w:p w:rsidR="007853A9" w:rsidRDefault="007853A9" w:rsidP="00A72FB0">
      <w:pPr>
        <w:jc w:val="center"/>
        <w:rPr>
          <w:rFonts w:cs="Arial"/>
          <w:b/>
          <w:sz w:val="18"/>
          <w:szCs w:val="18"/>
          <w:lang w:val="es-BO"/>
        </w:rPr>
      </w:pPr>
    </w:p>
    <w:p w:rsidR="00DE4C2E" w:rsidRPr="006853C6" w:rsidRDefault="00DE4C2E"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p w:rsidR="001A6FE8" w:rsidRPr="006853C6" w:rsidRDefault="001A6FE8" w:rsidP="00F11E90">
      <w:pP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Default="00DA234C" w:rsidP="00800D59">
      <w:pPr>
        <w:jc w:val="center"/>
        <w:rPr>
          <w:rFonts w:cs="Arial"/>
          <w:b/>
          <w:sz w:val="18"/>
          <w:szCs w:val="18"/>
          <w:lang w:val="es-BO"/>
        </w:rPr>
      </w:pPr>
    </w:p>
    <w:p w:rsidR="00F11E90" w:rsidRDefault="00F11E90" w:rsidP="00800D59">
      <w:pPr>
        <w:jc w:val="center"/>
        <w:rPr>
          <w:rFonts w:cs="Arial"/>
          <w:b/>
          <w:sz w:val="18"/>
          <w:szCs w:val="18"/>
          <w:lang w:val="es-BO"/>
        </w:rPr>
      </w:pPr>
    </w:p>
    <w:p w:rsidR="00F11E90" w:rsidRPr="006853C6" w:rsidRDefault="00F11E90"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325470" w:rsidRPr="006853C6" w:rsidRDefault="00336D34"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A16498" w:rsidRPr="006853C6" w:rsidRDefault="00A16498"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54095D">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A81803">
        <w:trPr>
          <w:trHeight w:val="255"/>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A81803">
        <w:trPr>
          <w:trHeight w:val="398"/>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A81803">
        <w:trPr>
          <w:trHeight w:val="134"/>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FB0ECB" w:rsidRPr="006853C6" w:rsidRDefault="00FB0ECB" w:rsidP="00497A0F">
      <w:pPr>
        <w:jc w:val="center"/>
        <w:rPr>
          <w:rFonts w:cs="Tahoma"/>
          <w:b/>
          <w:sz w:val="18"/>
          <w:szCs w:val="18"/>
          <w:lang w:val="es-BO"/>
        </w:rPr>
      </w:pPr>
      <w:r w:rsidRPr="006853C6">
        <w:rPr>
          <w:rFonts w:cs="Tahoma"/>
          <w:b/>
          <w:sz w:val="18"/>
          <w:szCs w:val="18"/>
          <w:lang w:val="es-BO"/>
        </w:rPr>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pStyle w:val="Normal2"/>
        <w:jc w:val="center"/>
        <w:rPr>
          <w:rFonts w:ascii="Verdana" w:hAnsi="Verdana" w:cs="Arial"/>
          <w:b/>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(NB-SABS) y sus modificaciones.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497A0F">
      <w:pPr>
        <w:numPr>
          <w:ilvl w:val="0"/>
          <w:numId w:val="42"/>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numPr>
          <w:ilvl w:val="0"/>
          <w:numId w:val="44"/>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(registrar el nombre del ente 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días calendario establecidos al efecto, o en caso de que 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497A0F">
      <w:pPr>
        <w:numPr>
          <w:ilvl w:val="0"/>
          <w:numId w:val="48"/>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497A0F">
      <w:pPr>
        <w:numPr>
          <w:ilvl w:val="0"/>
          <w:numId w:val="48"/>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497A0F">
      <w:pPr>
        <w:numPr>
          <w:ilvl w:val="0"/>
          <w:numId w:val="49"/>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497A0F">
      <w:pPr>
        <w:numPr>
          <w:ilvl w:val="0"/>
          <w:numId w:val="49"/>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497A0F">
      <w:pPr>
        <w:numPr>
          <w:ilvl w:val="1"/>
          <w:numId w:val="53"/>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497A0F">
      <w:pPr>
        <w:numPr>
          <w:ilvl w:val="1"/>
          <w:numId w:val="53"/>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497A0F">
      <w:pPr>
        <w:numPr>
          <w:ilvl w:val="2"/>
          <w:numId w:val="53"/>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497A0F">
      <w:pPr>
        <w:numPr>
          <w:ilvl w:val="0"/>
          <w:numId w:val="46"/>
        </w:numPr>
        <w:tabs>
          <w:tab w:val="clear" w:pos="2126"/>
          <w:tab w:val="num" w:pos="1620"/>
        </w:tabs>
        <w:ind w:left="1620" w:hanging="360"/>
        <w:jc w:val="both"/>
        <w:rPr>
          <w:b/>
          <w:sz w:val="18"/>
          <w:szCs w:val="18"/>
          <w:lang w:val="es-BO"/>
        </w:rPr>
      </w:pPr>
      <w:r w:rsidRPr="006853C6">
        <w:rPr>
          <w:sz w:val="18"/>
          <w:szCs w:val="18"/>
          <w:lang w:val="es-BO"/>
        </w:rPr>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497A0F">
      <w:pPr>
        <w:numPr>
          <w:ilvl w:val="2"/>
          <w:numId w:val="53"/>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497A0F">
      <w:pPr>
        <w:numPr>
          <w:ilvl w:val="2"/>
          <w:numId w:val="53"/>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497A0F">
      <w:pPr>
        <w:numPr>
          <w:ilvl w:val="1"/>
          <w:numId w:val="53"/>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497A0F">
      <w:pPr>
        <w:pStyle w:val="Prrafodelista"/>
        <w:numPr>
          <w:ilvl w:val="1"/>
          <w:numId w:val="54"/>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497A0F">
      <w:pPr>
        <w:pStyle w:val="Prrafodelista"/>
        <w:numPr>
          <w:ilvl w:val="1"/>
          <w:numId w:val="54"/>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497A0F">
      <w:pPr>
        <w:numPr>
          <w:ilvl w:val="0"/>
          <w:numId w:val="55"/>
        </w:numPr>
        <w:jc w:val="both"/>
        <w:rPr>
          <w:sz w:val="18"/>
          <w:szCs w:val="18"/>
          <w:lang w:val="es-BO"/>
        </w:rPr>
      </w:pPr>
      <w:r w:rsidRPr="006853C6">
        <w:rPr>
          <w:sz w:val="18"/>
          <w:szCs w:val="18"/>
          <w:lang w:val="es-BO"/>
        </w:rPr>
        <w:t>Sumas anteriores ya pagadas en los certificados.</w:t>
      </w:r>
    </w:p>
    <w:p w:rsidR="00FB0ECB" w:rsidRPr="006853C6" w:rsidRDefault="00FB0ECB" w:rsidP="00497A0F">
      <w:pPr>
        <w:numPr>
          <w:ilvl w:val="0"/>
          <w:numId w:val="55"/>
        </w:numPr>
        <w:jc w:val="both"/>
        <w:rPr>
          <w:sz w:val="18"/>
          <w:szCs w:val="18"/>
          <w:lang w:val="es-BO"/>
        </w:rPr>
      </w:pPr>
      <w:r w:rsidRPr="006853C6">
        <w:rPr>
          <w:sz w:val="18"/>
          <w:szCs w:val="18"/>
          <w:lang w:val="es-BO"/>
        </w:rPr>
        <w:t>Reposición de daños, si hubieren.</w:t>
      </w:r>
    </w:p>
    <w:p w:rsidR="00FB0ECB" w:rsidRPr="006853C6" w:rsidRDefault="00FB0ECB" w:rsidP="00497A0F">
      <w:pPr>
        <w:numPr>
          <w:ilvl w:val="0"/>
          <w:numId w:val="55"/>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497A0F">
      <w:pPr>
        <w:numPr>
          <w:ilvl w:val="0"/>
          <w:numId w:val="55"/>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93" w:rsidRDefault="003F1893">
      <w:r>
        <w:separator/>
      </w:r>
    </w:p>
  </w:endnote>
  <w:endnote w:type="continuationSeparator" w:id="0">
    <w:p w:rsidR="003F1893" w:rsidRDefault="003F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BD" w:rsidRDefault="001B76B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76BD" w:rsidRDefault="001B76B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BD" w:rsidRDefault="001B76BD">
    <w:pPr>
      <w:pStyle w:val="Piedepgina"/>
      <w:jc w:val="right"/>
    </w:pPr>
    <w:r>
      <w:fldChar w:fldCharType="begin"/>
    </w:r>
    <w:r>
      <w:instrText xml:space="preserve"> PAGE   \* MERGEFORMAT </w:instrText>
    </w:r>
    <w:r>
      <w:fldChar w:fldCharType="separate"/>
    </w:r>
    <w:r w:rsidR="00550FF5">
      <w:rPr>
        <w:noProof/>
      </w:rPr>
      <w:t>13</w:t>
    </w:r>
    <w:r>
      <w:fldChar w:fldCharType="end"/>
    </w:r>
  </w:p>
  <w:p w:rsidR="001B76BD" w:rsidRDefault="001B76B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BD" w:rsidRDefault="001B76BD" w:rsidP="00F271DF">
    <w:pPr>
      <w:pStyle w:val="Piedepgina"/>
      <w:jc w:val="right"/>
    </w:pPr>
    <w:r>
      <w:fldChar w:fldCharType="begin"/>
    </w:r>
    <w:r>
      <w:instrText xml:space="preserve"> PAGE   \* MERGEFORMAT </w:instrText>
    </w:r>
    <w:r>
      <w:fldChar w:fldCharType="separate"/>
    </w:r>
    <w:r w:rsidR="00550FF5">
      <w:rPr>
        <w:noProof/>
      </w:rPr>
      <w:t>1</w:t>
    </w:r>
    <w:r>
      <w:fldChar w:fldCharType="end"/>
    </w:r>
  </w:p>
  <w:p w:rsidR="001B76BD" w:rsidRDefault="001B7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93" w:rsidRDefault="003F1893">
      <w:r>
        <w:separator/>
      </w:r>
    </w:p>
  </w:footnote>
  <w:footnote w:type="continuationSeparator" w:id="0">
    <w:p w:rsidR="003F1893" w:rsidRDefault="003F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BD" w:rsidRPr="00364BEB" w:rsidRDefault="001B76BD"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1B76BD" w:rsidRDefault="001B76BD">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1B76BD" w:rsidRDefault="001B76BD"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BD" w:rsidRPr="00364BEB" w:rsidRDefault="001B76BD"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1B76BD" w:rsidRDefault="001B76BD"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8"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19"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0"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0" w15:restartNumberingAfterBreak="0">
    <w:nsid w:val="3A353B51"/>
    <w:multiLevelType w:val="hybridMultilevel"/>
    <w:tmpl w:val="42C021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9"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4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0"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7"/>
  </w:num>
  <w:num w:numId="3">
    <w:abstractNumId w:val="45"/>
  </w:num>
  <w:num w:numId="4">
    <w:abstractNumId w:val="40"/>
  </w:num>
  <w:num w:numId="5">
    <w:abstractNumId w:val="11"/>
  </w:num>
  <w:num w:numId="6">
    <w:abstractNumId w:val="54"/>
  </w:num>
  <w:num w:numId="7">
    <w:abstractNumId w:val="38"/>
  </w:num>
  <w:num w:numId="8">
    <w:abstractNumId w:val="37"/>
  </w:num>
  <w:num w:numId="9">
    <w:abstractNumId w:val="10"/>
  </w:num>
  <w:num w:numId="10">
    <w:abstractNumId w:val="50"/>
  </w:num>
  <w:num w:numId="11">
    <w:abstractNumId w:val="32"/>
  </w:num>
  <w:num w:numId="12">
    <w:abstractNumId w:val="3"/>
  </w:num>
  <w:num w:numId="13">
    <w:abstractNumId w:val="33"/>
  </w:num>
  <w:num w:numId="14">
    <w:abstractNumId w:val="18"/>
  </w:num>
  <w:num w:numId="15">
    <w:abstractNumId w:val="41"/>
  </w:num>
  <w:num w:numId="16">
    <w:abstractNumId w:val="55"/>
  </w:num>
  <w:num w:numId="17">
    <w:abstractNumId w:val="52"/>
  </w:num>
  <w:num w:numId="18">
    <w:abstractNumId w:val="24"/>
  </w:num>
  <w:num w:numId="19">
    <w:abstractNumId w:val="19"/>
  </w:num>
  <w:num w:numId="20">
    <w:abstractNumId w:val="9"/>
  </w:num>
  <w:num w:numId="21">
    <w:abstractNumId w:val="16"/>
  </w:num>
  <w:num w:numId="22">
    <w:abstractNumId w:val="28"/>
  </w:num>
  <w:num w:numId="23">
    <w:abstractNumId w:val="14"/>
  </w:num>
  <w:num w:numId="24">
    <w:abstractNumId w:val="20"/>
  </w:num>
  <w:num w:numId="25">
    <w:abstractNumId w:val="6"/>
  </w:num>
  <w:num w:numId="26">
    <w:abstractNumId w:val="1"/>
  </w:num>
  <w:num w:numId="27">
    <w:abstractNumId w:val="43"/>
  </w:num>
  <w:num w:numId="28">
    <w:abstractNumId w:val="48"/>
  </w:num>
  <w:num w:numId="29">
    <w:abstractNumId w:val="39"/>
  </w:num>
  <w:num w:numId="30">
    <w:abstractNumId w:val="47"/>
  </w:num>
  <w:num w:numId="31">
    <w:abstractNumId w:val="26"/>
  </w:num>
  <w:num w:numId="32">
    <w:abstractNumId w:val="8"/>
  </w:num>
  <w:num w:numId="33">
    <w:abstractNumId w:val="21"/>
  </w:num>
  <w:num w:numId="34">
    <w:abstractNumId w:val="44"/>
  </w:num>
  <w:num w:numId="35">
    <w:abstractNumId w:val="42"/>
  </w:num>
  <w:num w:numId="36">
    <w:abstractNumId w:val="0"/>
  </w:num>
  <w:num w:numId="37">
    <w:abstractNumId w:val="35"/>
  </w:num>
  <w:num w:numId="38">
    <w:abstractNumId w:val="13"/>
  </w:num>
  <w:num w:numId="39">
    <w:abstractNumId w:val="51"/>
  </w:num>
  <w:num w:numId="40">
    <w:abstractNumId w:val="15"/>
  </w:num>
  <w:num w:numId="41">
    <w:abstractNumId w:val="7"/>
  </w:num>
  <w:num w:numId="42">
    <w:abstractNumId w:val="2"/>
  </w:num>
  <w:num w:numId="43">
    <w:abstractNumId w:val="22"/>
  </w:num>
  <w:num w:numId="44">
    <w:abstractNumId w:val="17"/>
  </w:num>
  <w:num w:numId="45">
    <w:abstractNumId w:val="36"/>
  </w:num>
  <w:num w:numId="46">
    <w:abstractNumId w:val="29"/>
  </w:num>
  <w:num w:numId="47">
    <w:abstractNumId w:val="4"/>
  </w:num>
  <w:num w:numId="48">
    <w:abstractNumId w:val="49"/>
  </w:num>
  <w:num w:numId="49">
    <w:abstractNumId w:val="23"/>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25"/>
  </w:num>
  <w:num w:numId="53">
    <w:abstractNumId w:val="31"/>
  </w:num>
  <w:num w:numId="54">
    <w:abstractNumId w:val="53"/>
  </w:num>
  <w:num w:numId="55">
    <w:abstractNumId w:val="46"/>
  </w:num>
  <w:num w:numId="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3098"/>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B76BD"/>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5A3E"/>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893"/>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4D6C"/>
    <w:rsid w:val="00465AC4"/>
    <w:rsid w:val="0046662C"/>
    <w:rsid w:val="004667BE"/>
    <w:rsid w:val="00466A20"/>
    <w:rsid w:val="0046761A"/>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0FF5"/>
    <w:rsid w:val="00552780"/>
    <w:rsid w:val="0056073A"/>
    <w:rsid w:val="0056097B"/>
    <w:rsid w:val="00561143"/>
    <w:rsid w:val="00561508"/>
    <w:rsid w:val="00563D54"/>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2A0A"/>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F83"/>
    <w:rsid w:val="00773F94"/>
    <w:rsid w:val="00774416"/>
    <w:rsid w:val="007744A5"/>
    <w:rsid w:val="00780A7D"/>
    <w:rsid w:val="00780BA7"/>
    <w:rsid w:val="00780C42"/>
    <w:rsid w:val="00782783"/>
    <w:rsid w:val="0078419C"/>
    <w:rsid w:val="00784C20"/>
    <w:rsid w:val="007853A9"/>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124"/>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3DA"/>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9DD"/>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32F"/>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3F5"/>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F0533"/>
    <w:rsid w:val="00EF2E87"/>
    <w:rsid w:val="00EF489A"/>
    <w:rsid w:val="00EF529C"/>
    <w:rsid w:val="00EF59A2"/>
    <w:rsid w:val="00EF5DB3"/>
    <w:rsid w:val="00EF6D20"/>
    <w:rsid w:val="00EF7DD5"/>
    <w:rsid w:val="00F03EAC"/>
    <w:rsid w:val="00F046AC"/>
    <w:rsid w:val="00F06C1F"/>
    <w:rsid w:val="00F10272"/>
    <w:rsid w:val="00F10445"/>
    <w:rsid w:val="00F106ED"/>
    <w:rsid w:val="00F11342"/>
    <w:rsid w:val="00F11B86"/>
    <w:rsid w:val="00F11E90"/>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 w:val="00FF62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E953C"/>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link w:val="Prrafodelista"/>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8E6D-90F0-4E55-9A0D-B750F991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17818</Words>
  <Characters>98001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115588</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korellana@misicuni.local</cp:lastModifiedBy>
  <cp:revision>13</cp:revision>
  <cp:lastPrinted>2019-05-10T13:37:00Z</cp:lastPrinted>
  <dcterms:created xsi:type="dcterms:W3CDTF">2018-06-27T23:29:00Z</dcterms:created>
  <dcterms:modified xsi:type="dcterms:W3CDTF">2019-05-10T17:44:00Z</dcterms:modified>
</cp:coreProperties>
</file>